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02383" w14:textId="122F18E0" w:rsidR="000E42FE" w:rsidRDefault="00906264" w:rsidP="00CB589F">
      <w:pPr>
        <w:spacing w:after="1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Observation Checklist for High-Quality Professional Development</w:t>
      </w:r>
      <w:r w:rsidR="007C626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Version 3</w:t>
      </w:r>
    </w:p>
    <w:p w14:paraId="5AAC9EF6" w14:textId="36CD5728" w:rsidR="00F57BED" w:rsidRDefault="00906264" w:rsidP="00CB589F">
      <w:pPr>
        <w:spacing w:after="1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(HQPD Checklist–3)</w:t>
      </w:r>
    </w:p>
    <w:p w14:paraId="2E1B9A0A" w14:textId="338FF264" w:rsidR="00187390" w:rsidRDefault="00187390" w:rsidP="00CB589F">
      <w:pPr>
        <w:spacing w:after="1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Guidance Document</w:t>
      </w:r>
    </w:p>
    <w:p w14:paraId="63613D49" w14:textId="207C5AD2" w:rsidR="00BB77BD" w:rsidRDefault="00BB77BD" w:rsidP="0042795F">
      <w:pPr>
        <w:spacing w:line="240" w:lineRule="auto"/>
        <w:jc w:val="both"/>
      </w:pPr>
      <w:r w:rsidRPr="008A3EC9">
        <w:t>The</w:t>
      </w:r>
      <w:r>
        <w:t xml:space="preserve"> Observation Checklist for High-</w:t>
      </w:r>
      <w:r w:rsidRPr="008A3EC9">
        <w:t xml:space="preserve">Quality Professional </w:t>
      </w:r>
      <w:r>
        <w:t xml:space="preserve">Development </w:t>
      </w:r>
      <w:r w:rsidR="007C626A">
        <w:t xml:space="preserve">- </w:t>
      </w:r>
      <w:r w:rsidR="006F2794">
        <w:t>Version</w:t>
      </w:r>
      <w:r>
        <w:t xml:space="preserve"> 3</w:t>
      </w:r>
      <w:r w:rsidR="00C64774">
        <w:t xml:space="preserve"> (HQPD Checkli</w:t>
      </w:r>
      <w:r w:rsidR="007C626A">
        <w:t>st-3</w:t>
      </w:r>
      <w:r w:rsidR="006F2794">
        <w:t>)</w:t>
      </w:r>
      <w:r>
        <w:t xml:space="preserve"> </w:t>
      </w:r>
      <w:r w:rsidRPr="008A3EC9">
        <w:t xml:space="preserve">was designed to be completed by an observer to determine the </w:t>
      </w:r>
      <w:r>
        <w:t>inclusion of evidence-based adult learning indicators within</w:t>
      </w:r>
      <w:r w:rsidRPr="008A3EC9">
        <w:t xml:space="preserve"> professiona</w:t>
      </w:r>
      <w:r>
        <w:t xml:space="preserve">l development. These data should </w:t>
      </w:r>
      <w:r w:rsidRPr="008A3EC9">
        <w:t xml:space="preserve">be </w:t>
      </w:r>
      <w:r>
        <w:t>incorporated into</w:t>
      </w:r>
      <w:r w:rsidRPr="008A3EC9">
        <w:t xml:space="preserve"> ongoing feedback and coaching to </w:t>
      </w:r>
      <w:r>
        <w:t>the individuals</w:t>
      </w:r>
      <w:r w:rsidRPr="008A3EC9">
        <w:t xml:space="preserve"> who provide professional development. Furthermore, </w:t>
      </w:r>
      <w:r>
        <w:t>the indicators, and associated examples,</w:t>
      </w:r>
      <w:r w:rsidRPr="008A3EC9">
        <w:t xml:space="preserve"> </w:t>
      </w:r>
      <w:r>
        <w:t xml:space="preserve">can be used as </w:t>
      </w:r>
      <w:r w:rsidRPr="008A3EC9">
        <w:t>guidance when designing or revising professional development. The tool represents a compilation of indicators</w:t>
      </w:r>
      <w:r w:rsidR="00942C79">
        <w:t>, identified through a review of relevant research</w:t>
      </w:r>
      <w:r w:rsidR="0042795F">
        <w:t xml:space="preserve"> and more than fifteen years of experience evaluating professional development</w:t>
      </w:r>
      <w:r w:rsidR="00942C79">
        <w:t>,</w:t>
      </w:r>
      <w:r w:rsidRPr="008A3EC9">
        <w:t xml:space="preserve"> that </w:t>
      </w:r>
      <w:r>
        <w:t>promote learning and implementation of evidence-based practices</w:t>
      </w:r>
      <w:r w:rsidRPr="008A3EC9">
        <w:t xml:space="preserve">. </w:t>
      </w:r>
    </w:p>
    <w:p w14:paraId="2F713370" w14:textId="77777777" w:rsidR="0042795F" w:rsidRPr="00131B86" w:rsidRDefault="0042795F" w:rsidP="00BB77BD">
      <w:pPr>
        <w:spacing w:line="240" w:lineRule="auto"/>
        <w:jc w:val="both"/>
        <w:rPr>
          <w:i w:val="0"/>
        </w:rPr>
      </w:pPr>
    </w:p>
    <w:tbl>
      <w:tblPr>
        <w:tblStyle w:val="a"/>
        <w:tblW w:w="107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90"/>
      </w:tblGrid>
      <w:tr w:rsidR="00B15AEC" w14:paraId="19897038" w14:textId="77777777" w:rsidTr="00B15AEC">
        <w:trPr>
          <w:trHeight w:val="201"/>
        </w:trPr>
        <w:tc>
          <w:tcPr>
            <w:tcW w:w="10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40" w:type="dxa"/>
              <w:left w:w="100" w:type="dxa"/>
              <w:bottom w:w="20" w:type="dxa"/>
              <w:right w:w="100" w:type="dxa"/>
            </w:tcMar>
          </w:tcPr>
          <w:p w14:paraId="63FA6F37" w14:textId="6C31252F" w:rsidR="00B15AEC" w:rsidRDefault="00B15AEC" w:rsidP="002E694A">
            <w:pPr>
              <w:pStyle w:val="Heading2"/>
            </w:pPr>
            <w:r>
              <w:t>Preparing for Learning</w:t>
            </w:r>
          </w:p>
        </w:tc>
      </w:tr>
      <w:tr w:rsidR="00F57BED" w14:paraId="27123DE3" w14:textId="77777777" w:rsidTr="0042795F">
        <w:trPr>
          <w:trHeight w:val="330"/>
        </w:trPr>
        <w:tc>
          <w:tcPr>
            <w:tcW w:w="10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20" w:type="dxa"/>
              <w:right w:w="100" w:type="dxa"/>
            </w:tcMar>
          </w:tcPr>
          <w:p w14:paraId="48A2C2A6" w14:textId="0592DD60" w:rsidR="00F57BED" w:rsidRDefault="00906264" w:rsidP="000F716B">
            <w:pPr>
              <w:rPr>
                <w:b/>
              </w:rPr>
            </w:pPr>
            <w:r>
              <w:rPr>
                <w:b/>
              </w:rPr>
              <w:t xml:space="preserve">1. Prior to the </w:t>
            </w:r>
            <w:r w:rsidR="000F716B">
              <w:rPr>
                <w:b/>
              </w:rPr>
              <w:t>professional development</w:t>
            </w:r>
            <w:r>
              <w:rPr>
                <w:b/>
              </w:rPr>
              <w:t>, provides learning objectives addressing the critical training concepts</w:t>
            </w:r>
            <w:r w:rsidR="004920CB">
              <w:rPr>
                <w:b/>
              </w:rPr>
              <w:t>.</w:t>
            </w:r>
          </w:p>
        </w:tc>
      </w:tr>
      <w:tr w:rsidR="00F57BED" w14:paraId="0507D966" w14:textId="77777777" w:rsidTr="0042795F">
        <w:trPr>
          <w:trHeight w:val="800"/>
        </w:trPr>
        <w:tc>
          <w:tcPr>
            <w:tcW w:w="10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20" w:type="dxa"/>
              <w:right w:w="100" w:type="dxa"/>
            </w:tcMar>
          </w:tcPr>
          <w:p w14:paraId="01DCF04E" w14:textId="77777777" w:rsidR="00F57BED" w:rsidRDefault="00906264">
            <w:pPr>
              <w:spacing w:line="240" w:lineRule="auto"/>
            </w:pPr>
            <w:r>
              <w:t>Examples:</w:t>
            </w:r>
          </w:p>
          <w:p w14:paraId="13FB94B7" w14:textId="4D4C6251" w:rsidR="00F57BED" w:rsidRDefault="006F2341" w:rsidP="00164F10">
            <w:pPr>
              <w:spacing w:line="240" w:lineRule="auto"/>
              <w:ind w:left="334" w:hanging="180"/>
            </w:pPr>
            <w:r>
              <w:t>Learning objectives are provided in the event description on a registration website.</w:t>
            </w:r>
          </w:p>
          <w:p w14:paraId="3584E2B0" w14:textId="2AE63080" w:rsidR="00F57BED" w:rsidRDefault="006F2341" w:rsidP="00164F10">
            <w:pPr>
              <w:spacing w:line="240" w:lineRule="auto"/>
              <w:ind w:left="334" w:hanging="180"/>
            </w:pPr>
            <w:r>
              <w:t xml:space="preserve">Participants are emailed learning objectives </w:t>
            </w:r>
            <w:r w:rsidR="00C3287F">
              <w:t>along with logistics for the training</w:t>
            </w:r>
            <w:r>
              <w:t>.</w:t>
            </w:r>
          </w:p>
          <w:p w14:paraId="45F938E1" w14:textId="5E5922DD" w:rsidR="00F57BED" w:rsidRDefault="006F2341" w:rsidP="00164F10">
            <w:pPr>
              <w:spacing w:line="240" w:lineRule="auto"/>
              <w:ind w:left="334" w:hanging="180"/>
            </w:pPr>
            <w:r>
              <w:t>Learning objectives are included on an agenda sent to participants prior to the training.</w:t>
            </w:r>
          </w:p>
        </w:tc>
      </w:tr>
      <w:tr w:rsidR="00F57BED" w14:paraId="5D711B28" w14:textId="77777777" w:rsidTr="0042795F">
        <w:trPr>
          <w:trHeight w:val="345"/>
        </w:trPr>
        <w:tc>
          <w:tcPr>
            <w:tcW w:w="10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20" w:type="dxa"/>
              <w:right w:w="100" w:type="dxa"/>
            </w:tcMar>
          </w:tcPr>
          <w:p w14:paraId="07C2F657" w14:textId="6E436677" w:rsidR="00F57BED" w:rsidRDefault="00906264" w:rsidP="000F716B">
            <w:pPr>
              <w:rPr>
                <w:b/>
              </w:rPr>
            </w:pPr>
            <w:r>
              <w:rPr>
                <w:b/>
              </w:rPr>
              <w:t>2. Prepares participants to engage in the content by assigning activities in advance</w:t>
            </w:r>
            <w:r w:rsidR="004920CB">
              <w:rPr>
                <w:b/>
              </w:rPr>
              <w:t>.</w:t>
            </w:r>
          </w:p>
        </w:tc>
      </w:tr>
      <w:tr w:rsidR="00F57BED" w14:paraId="74A1B659" w14:textId="77777777" w:rsidTr="0042795F">
        <w:trPr>
          <w:trHeight w:val="863"/>
        </w:trPr>
        <w:tc>
          <w:tcPr>
            <w:tcW w:w="10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20" w:type="dxa"/>
              <w:right w:w="100" w:type="dxa"/>
            </w:tcMar>
          </w:tcPr>
          <w:p w14:paraId="572BA62C" w14:textId="77777777" w:rsidR="00F57BED" w:rsidRDefault="00906264">
            <w:pPr>
              <w:spacing w:line="240" w:lineRule="auto"/>
            </w:pPr>
            <w:r>
              <w:t>Examples:</w:t>
            </w:r>
          </w:p>
          <w:p w14:paraId="4092BB41" w14:textId="58003091" w:rsidR="00F57BED" w:rsidRDefault="00906264" w:rsidP="00052C8F">
            <w:pPr>
              <w:pStyle w:val="Exampleslist"/>
            </w:pPr>
            <w:r>
              <w:t xml:space="preserve">Participants are </w:t>
            </w:r>
            <w:r w:rsidR="00D42B70">
              <w:t>asked</w:t>
            </w:r>
            <w:r>
              <w:t xml:space="preserve"> to read </w:t>
            </w:r>
            <w:r w:rsidR="00D42B70">
              <w:t xml:space="preserve">a provided article </w:t>
            </w:r>
            <w:r w:rsidR="0032078C">
              <w:t>and be prepared to discuss the article during the training</w:t>
            </w:r>
            <w:r w:rsidR="004920CB">
              <w:t>.</w:t>
            </w:r>
          </w:p>
          <w:p w14:paraId="58267B36" w14:textId="02E35C6B" w:rsidR="00F57BED" w:rsidRDefault="00D42B70" w:rsidP="00052C8F">
            <w:pPr>
              <w:pStyle w:val="Exampleslist"/>
            </w:pPr>
            <w:r>
              <w:t>P</w:t>
            </w:r>
            <w:r w:rsidR="00906264">
              <w:t>articipants complete a set of pre-training modules prior to attending the session</w:t>
            </w:r>
            <w:r w:rsidR="007C2862">
              <w:t>; these ensure that all participants have a common base of knowledge</w:t>
            </w:r>
            <w:r w:rsidR="004920CB">
              <w:t>.</w:t>
            </w:r>
          </w:p>
          <w:p w14:paraId="26537703" w14:textId="77777777" w:rsidR="00A66E59" w:rsidRDefault="00E45D35" w:rsidP="00A66E59">
            <w:pPr>
              <w:pStyle w:val="Exampleslist"/>
            </w:pPr>
            <w:r>
              <w:t>Prior to the session the participants are asked to reflect on and rate their current practice using a rubric based on key concepts that will be addressed during the training.</w:t>
            </w:r>
          </w:p>
          <w:p w14:paraId="416E19C6" w14:textId="215B6A8B" w:rsidR="00A66E59" w:rsidRDefault="00A66E59" w:rsidP="00A66E59">
            <w:pPr>
              <w:pStyle w:val="Exampleslist"/>
            </w:pPr>
            <w:r>
              <w:t>Participants complete a pretest</w:t>
            </w:r>
            <w:r w:rsidR="00A87594">
              <w:t xml:space="preserve"> that prompts participants to reflect on the knowledge and skills they hope to gain.</w:t>
            </w:r>
          </w:p>
          <w:p w14:paraId="5751B536" w14:textId="5D59A1E1" w:rsidR="00DE5351" w:rsidRDefault="00DE5351" w:rsidP="00610646">
            <w:pPr>
              <w:pStyle w:val="Exampleslist"/>
            </w:pPr>
            <w:r>
              <w:t>Participa</w:t>
            </w:r>
            <w:r w:rsidR="00612650">
              <w:t>nts are asked to complete a pre</w:t>
            </w:r>
            <w:r>
              <w:t>test that provides links to resources</w:t>
            </w:r>
            <w:r w:rsidR="00A87594">
              <w:t xml:space="preserve"> to expand background knowledge</w:t>
            </w:r>
            <w:r w:rsidR="00610646">
              <w:t>.</w:t>
            </w:r>
          </w:p>
        </w:tc>
      </w:tr>
      <w:tr w:rsidR="00F57BED" w14:paraId="1F626930" w14:textId="77777777" w:rsidTr="0042795F">
        <w:trPr>
          <w:trHeight w:val="360"/>
        </w:trPr>
        <w:tc>
          <w:tcPr>
            <w:tcW w:w="10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20" w:type="dxa"/>
              <w:right w:w="100" w:type="dxa"/>
            </w:tcMar>
          </w:tcPr>
          <w:p w14:paraId="742A8CA4" w14:textId="5EB33537" w:rsidR="00F57BED" w:rsidRPr="00AB7BC0" w:rsidRDefault="00906264" w:rsidP="00AB7BC0">
            <w:pPr>
              <w:rPr>
                <w:b/>
              </w:rPr>
            </w:pPr>
            <w:r w:rsidRPr="00AB7BC0">
              <w:rPr>
                <w:b/>
              </w:rPr>
              <w:t xml:space="preserve">3. </w:t>
            </w:r>
            <w:r w:rsidR="00AB7BC0" w:rsidRPr="00EF592C">
              <w:rPr>
                <w:b/>
                <w:bCs/>
              </w:rPr>
              <w:t>Follows an agenda that outlines the flow of the content and includes beginning</w:t>
            </w:r>
            <w:r w:rsidR="00942C79">
              <w:rPr>
                <w:b/>
                <w:bCs/>
              </w:rPr>
              <w:t xml:space="preserve"> times, </w:t>
            </w:r>
            <w:r w:rsidR="00AB7BC0" w:rsidRPr="00EF592C">
              <w:rPr>
                <w:b/>
                <w:bCs/>
              </w:rPr>
              <w:t xml:space="preserve">ending times, </w:t>
            </w:r>
            <w:r w:rsidR="00942C79">
              <w:rPr>
                <w:b/>
                <w:bCs/>
              </w:rPr>
              <w:t>and</w:t>
            </w:r>
            <w:r w:rsidR="00AB7BC0" w:rsidRPr="00EF592C">
              <w:rPr>
                <w:b/>
                <w:bCs/>
              </w:rPr>
              <w:t xml:space="preserve"> key breaks. </w:t>
            </w:r>
          </w:p>
        </w:tc>
      </w:tr>
      <w:tr w:rsidR="00F57BED" w14:paraId="1AFE28C4" w14:textId="77777777" w:rsidTr="0042795F">
        <w:trPr>
          <w:trHeight w:val="800"/>
        </w:trPr>
        <w:tc>
          <w:tcPr>
            <w:tcW w:w="10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20" w:type="dxa"/>
              <w:right w:w="100" w:type="dxa"/>
            </w:tcMar>
          </w:tcPr>
          <w:p w14:paraId="1D6A28C9" w14:textId="77777777" w:rsidR="00F57BED" w:rsidRDefault="00906264">
            <w:pPr>
              <w:spacing w:line="240" w:lineRule="auto"/>
            </w:pPr>
            <w:r>
              <w:t>Examples:</w:t>
            </w:r>
          </w:p>
          <w:p w14:paraId="0CAB7267" w14:textId="3059676E" w:rsidR="00F57BED" w:rsidRDefault="00906264" w:rsidP="00052C8F">
            <w:pPr>
              <w:pStyle w:val="Exampleslist"/>
            </w:pPr>
            <w:r>
              <w:t xml:space="preserve">The presenter follows an agenda </w:t>
            </w:r>
            <w:r w:rsidR="00CB589F">
              <w:t xml:space="preserve">displayed </w:t>
            </w:r>
            <w:r w:rsidR="00836164">
              <w:t>in the presentation</w:t>
            </w:r>
            <w:r>
              <w:t xml:space="preserve"> that includes t</w:t>
            </w:r>
            <w:r w:rsidR="00D42B70">
              <w:t xml:space="preserve">opics to be addressed </w:t>
            </w:r>
            <w:r w:rsidR="00AB4450">
              <w:t>related to</w:t>
            </w:r>
            <w:r w:rsidR="00D42B70">
              <w:t xml:space="preserve"> learning objectives</w:t>
            </w:r>
            <w:r>
              <w:t xml:space="preserve"> </w:t>
            </w:r>
            <w:r w:rsidR="00D42B70">
              <w:t>and a</w:t>
            </w:r>
            <w:r>
              <w:t xml:space="preserve"> </w:t>
            </w:r>
            <w:r w:rsidR="00D42B70">
              <w:t xml:space="preserve">timeline of topics </w:t>
            </w:r>
            <w:r>
              <w:t>and breaks</w:t>
            </w:r>
            <w:r w:rsidR="004920CB">
              <w:t>.</w:t>
            </w:r>
          </w:p>
          <w:p w14:paraId="2850828E" w14:textId="096BD19D" w:rsidR="00F57BED" w:rsidRDefault="004920CB" w:rsidP="00052C8F">
            <w:pPr>
              <w:pStyle w:val="Exampleslist"/>
            </w:pPr>
            <w:r>
              <w:t>A detailed agenda is provided</w:t>
            </w:r>
            <w:r w:rsidR="00CB589F">
              <w:t xml:space="preserve"> on the registration website</w:t>
            </w:r>
            <w:r>
              <w:t xml:space="preserve">, </w:t>
            </w:r>
            <w:r w:rsidR="00AB4450">
              <w:t xml:space="preserve">and </w:t>
            </w:r>
            <w:r>
              <w:t>adjustments are made</w:t>
            </w:r>
            <w:r w:rsidR="00CB589F">
              <w:t xml:space="preserve"> and communicated</w:t>
            </w:r>
            <w:r>
              <w:t xml:space="preserve"> throughout the day to better meet participants’ learning needs.</w:t>
            </w:r>
          </w:p>
          <w:p w14:paraId="683B6D99" w14:textId="258EDEAE" w:rsidR="00F57BED" w:rsidRDefault="00906264" w:rsidP="00052C8F">
            <w:pPr>
              <w:pStyle w:val="Exampleslist"/>
            </w:pPr>
            <w:r>
              <w:t>The agenda, with topics to be addressed and break times, is included in the packet of materials.</w:t>
            </w:r>
          </w:p>
          <w:p w14:paraId="33AD50B6" w14:textId="1C0D5D65" w:rsidR="00D47A41" w:rsidRDefault="00D47A41" w:rsidP="00052C8F">
            <w:pPr>
              <w:pStyle w:val="Exampleslist"/>
            </w:pPr>
            <w:r>
              <w:t xml:space="preserve">The registration for </w:t>
            </w:r>
            <w:r w:rsidR="00AB4450">
              <w:t xml:space="preserve">a </w:t>
            </w:r>
            <w:r>
              <w:t>series of online webinars include</w:t>
            </w:r>
            <w:r w:rsidR="00165514">
              <w:t>s</w:t>
            </w:r>
            <w:r>
              <w:t xml:space="preserve"> a list of the topics to be covered </w:t>
            </w:r>
            <w:r w:rsidR="00AB4450">
              <w:t xml:space="preserve">across </w:t>
            </w:r>
            <w:r>
              <w:t xml:space="preserve">the series and subtopics to be addressed during each of the four </w:t>
            </w:r>
            <w:r w:rsidR="00942C79">
              <w:t>one</w:t>
            </w:r>
            <w:r w:rsidR="004C3E30">
              <w:t xml:space="preserve">-hour </w:t>
            </w:r>
            <w:r>
              <w:t>sessions.</w:t>
            </w:r>
          </w:p>
        </w:tc>
      </w:tr>
      <w:tr w:rsidR="00F57BED" w14:paraId="1335DEE3" w14:textId="77777777" w:rsidTr="0042795F">
        <w:trPr>
          <w:trHeight w:val="320"/>
        </w:trPr>
        <w:tc>
          <w:tcPr>
            <w:tcW w:w="10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20" w:type="dxa"/>
              <w:right w:w="100" w:type="dxa"/>
            </w:tcMar>
          </w:tcPr>
          <w:p w14:paraId="541DB858" w14:textId="585BD140" w:rsidR="00F57BED" w:rsidRDefault="00906264">
            <w:pPr>
              <w:rPr>
                <w:b/>
              </w:rPr>
            </w:pPr>
            <w:r>
              <w:rPr>
                <w:b/>
              </w:rPr>
              <w:t>4. Establishes credibility by communicating content expertise and/or experience</w:t>
            </w:r>
            <w:r w:rsidR="004C5E59">
              <w:rPr>
                <w:b/>
              </w:rPr>
              <w:t>.</w:t>
            </w:r>
          </w:p>
        </w:tc>
      </w:tr>
      <w:tr w:rsidR="00F57BED" w14:paraId="3A2FD44A" w14:textId="77777777" w:rsidTr="0042795F">
        <w:trPr>
          <w:trHeight w:val="908"/>
        </w:trPr>
        <w:tc>
          <w:tcPr>
            <w:tcW w:w="10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20" w:type="dxa"/>
              <w:right w:w="100" w:type="dxa"/>
            </w:tcMar>
          </w:tcPr>
          <w:p w14:paraId="14B478EB" w14:textId="77777777" w:rsidR="00F57BED" w:rsidRDefault="00906264">
            <w:pPr>
              <w:spacing w:line="240" w:lineRule="auto"/>
            </w:pPr>
            <w:r>
              <w:t>Examples:</w:t>
            </w:r>
          </w:p>
          <w:p w14:paraId="1FA124BD" w14:textId="43AA0E98" w:rsidR="00F57BED" w:rsidRDefault="00906264" w:rsidP="00052C8F">
            <w:pPr>
              <w:pStyle w:val="Exampleslist"/>
            </w:pPr>
            <w:r>
              <w:t>The presenter</w:t>
            </w:r>
            <w:r w:rsidR="00CB589F">
              <w:t xml:space="preserve">’s background and expertise </w:t>
            </w:r>
            <w:r w:rsidR="00F915E0">
              <w:t xml:space="preserve">are summarized </w:t>
            </w:r>
            <w:r w:rsidR="00CB589F">
              <w:t>on the registration website.</w:t>
            </w:r>
          </w:p>
          <w:p w14:paraId="191C589E" w14:textId="24AA9819" w:rsidR="00F57BED" w:rsidRDefault="00906264" w:rsidP="00052C8F">
            <w:pPr>
              <w:pStyle w:val="Exampleslist"/>
            </w:pPr>
            <w:r>
              <w:t xml:space="preserve">The presenters describe how they became interested in the topic and how it changed their practice and </w:t>
            </w:r>
            <w:r w:rsidR="006A7FB5">
              <w:t>led to improved</w:t>
            </w:r>
            <w:r>
              <w:t xml:space="preserve"> outcomes</w:t>
            </w:r>
            <w:r w:rsidR="0032078C">
              <w:t>.</w:t>
            </w:r>
          </w:p>
          <w:p w14:paraId="040B224F" w14:textId="6D079F33" w:rsidR="00957E7A" w:rsidRDefault="00F915E0" w:rsidP="00052C8F">
            <w:pPr>
              <w:pStyle w:val="Exampleslist"/>
            </w:pPr>
            <w:r>
              <w:t>The event organizer’s introduction includes a description of the presenter’s expertise related to the content.</w:t>
            </w:r>
          </w:p>
        </w:tc>
      </w:tr>
      <w:tr w:rsidR="00B15AEC" w14:paraId="0868CF76" w14:textId="77777777" w:rsidTr="00B15AEC">
        <w:trPr>
          <w:trHeight w:val="340"/>
        </w:trPr>
        <w:tc>
          <w:tcPr>
            <w:tcW w:w="10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40" w:type="dxa"/>
              <w:left w:w="100" w:type="dxa"/>
              <w:bottom w:w="20" w:type="dxa"/>
              <w:right w:w="100" w:type="dxa"/>
            </w:tcMar>
            <w:vAlign w:val="center"/>
          </w:tcPr>
          <w:p w14:paraId="09CC947A" w14:textId="27BBAC99" w:rsidR="00B15AEC" w:rsidRPr="00B15AEC" w:rsidRDefault="00B15AEC" w:rsidP="002E694A">
            <w:pPr>
              <w:pStyle w:val="Heading2"/>
            </w:pPr>
            <w:r>
              <w:t>Contextualizing the Content</w:t>
            </w:r>
          </w:p>
        </w:tc>
      </w:tr>
      <w:tr w:rsidR="006A6A3F" w14:paraId="3ADB6ADF" w14:textId="77777777" w:rsidTr="00E17DBA">
        <w:trPr>
          <w:trHeight w:val="320"/>
        </w:trPr>
        <w:tc>
          <w:tcPr>
            <w:tcW w:w="10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20" w:type="dxa"/>
              <w:right w:w="100" w:type="dxa"/>
            </w:tcMar>
            <w:vAlign w:val="center"/>
          </w:tcPr>
          <w:p w14:paraId="7F4FFE4A" w14:textId="3A964823" w:rsidR="006A6A3F" w:rsidRPr="006A6A3F" w:rsidRDefault="006A6A3F" w:rsidP="006A6A3F">
            <w:pPr>
              <w:rPr>
                <w:b/>
              </w:rPr>
            </w:pPr>
            <w:r w:rsidRPr="006A6A3F">
              <w:rPr>
                <w:b/>
              </w:rPr>
              <w:t>5.  Illustrates alignment between the content and participants' organizational standards, goals, or priorities.</w:t>
            </w:r>
          </w:p>
        </w:tc>
      </w:tr>
      <w:tr w:rsidR="00F57BED" w14:paraId="5DE23886" w14:textId="77777777" w:rsidTr="0042795F">
        <w:trPr>
          <w:trHeight w:val="800"/>
        </w:trPr>
        <w:tc>
          <w:tcPr>
            <w:tcW w:w="10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20" w:type="dxa"/>
              <w:right w:w="100" w:type="dxa"/>
            </w:tcMar>
          </w:tcPr>
          <w:p w14:paraId="0E9FCEF2" w14:textId="77777777" w:rsidR="00F57BED" w:rsidRDefault="00906264">
            <w:pPr>
              <w:spacing w:line="240" w:lineRule="auto"/>
            </w:pPr>
            <w:r>
              <w:t>Examples:</w:t>
            </w:r>
          </w:p>
          <w:p w14:paraId="73AA9F96" w14:textId="264F29FA" w:rsidR="00E11ADC" w:rsidRDefault="00E11ADC" w:rsidP="00052C8F">
            <w:pPr>
              <w:pStyle w:val="Exampleslist"/>
            </w:pPr>
            <w:r>
              <w:t>The present</w:t>
            </w:r>
            <w:r w:rsidR="00FB0B7A">
              <w:t>er</w:t>
            </w:r>
            <w:r>
              <w:t xml:space="preserve"> prompts local teams to identify connections between the content and their local initiative</w:t>
            </w:r>
            <w:r w:rsidR="00AC687F">
              <w:t>s</w:t>
            </w:r>
            <w:r>
              <w:t xml:space="preserve"> or improvement plans. </w:t>
            </w:r>
          </w:p>
          <w:p w14:paraId="2B7166FC" w14:textId="3261DED4" w:rsidR="00663794" w:rsidRDefault="00663794" w:rsidP="00663794">
            <w:pPr>
              <w:pStyle w:val="Exampleslist"/>
            </w:pPr>
            <w:r>
              <w:t xml:space="preserve">The presenter </w:t>
            </w:r>
            <w:r w:rsidR="00797E3C">
              <w:t xml:space="preserve">describes </w:t>
            </w:r>
            <w:r>
              <w:t xml:space="preserve">how the intervention aligns with federal/state </w:t>
            </w:r>
            <w:r w:rsidR="00FB0B7A">
              <w:t>policy or law</w:t>
            </w:r>
            <w:r>
              <w:t xml:space="preserve"> (e.g., </w:t>
            </w:r>
            <w:r w:rsidR="00FB0B7A">
              <w:t xml:space="preserve">state agency goals, accreditation requirements, </w:t>
            </w:r>
            <w:r>
              <w:t>the Elementary and Secondary Education Act)</w:t>
            </w:r>
            <w:r w:rsidR="00797E3C">
              <w:t>, showing how the content helps participants meet their existing</w:t>
            </w:r>
            <w:r w:rsidR="003210DC">
              <w:t xml:space="preserve"> professional responsibilities</w:t>
            </w:r>
            <w:r>
              <w:t xml:space="preserve">. </w:t>
            </w:r>
          </w:p>
          <w:p w14:paraId="748643C1" w14:textId="27AF7139" w:rsidR="004E4210" w:rsidRDefault="004E4210" w:rsidP="007C2862">
            <w:pPr>
              <w:pStyle w:val="Exampleslist"/>
            </w:pPr>
            <w:r>
              <w:t>The presenter notes that the practices have been adopted by a relevant national- or state-level professional organization</w:t>
            </w:r>
            <w:r w:rsidR="003210DC">
              <w:t>s</w:t>
            </w:r>
            <w:r w:rsidR="007C2862">
              <w:t>, highlighting how the practices are</w:t>
            </w:r>
            <w:r w:rsidR="003210DC">
              <w:t xml:space="preserve"> within the scope of </w:t>
            </w:r>
            <w:r w:rsidR="007C2862">
              <w:t xml:space="preserve">the participants’ </w:t>
            </w:r>
            <w:r w:rsidR="003210DC">
              <w:t>professional role.</w:t>
            </w:r>
          </w:p>
        </w:tc>
      </w:tr>
      <w:tr w:rsidR="00F57BED" w14:paraId="44092D47" w14:textId="77777777" w:rsidTr="0042795F">
        <w:trPr>
          <w:trHeight w:val="320"/>
        </w:trPr>
        <w:tc>
          <w:tcPr>
            <w:tcW w:w="10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20" w:type="dxa"/>
              <w:right w:w="100" w:type="dxa"/>
            </w:tcMar>
          </w:tcPr>
          <w:p w14:paraId="3F6C97D2" w14:textId="78CEA2A9" w:rsidR="00F57BED" w:rsidRDefault="00523018" w:rsidP="00A476F1">
            <w:pPr>
              <w:rPr>
                <w:b/>
              </w:rPr>
            </w:pPr>
            <w:r>
              <w:rPr>
                <w:b/>
              </w:rPr>
              <w:t>6</w:t>
            </w:r>
            <w:r w:rsidR="00906264">
              <w:rPr>
                <w:b/>
              </w:rPr>
              <w:t xml:space="preserve">. </w:t>
            </w:r>
            <w:r w:rsidR="009A6292" w:rsidRPr="001F2DEF">
              <w:rPr>
                <w:b/>
              </w:rPr>
              <w:t xml:space="preserve">Summarizes the </w:t>
            </w:r>
            <w:r w:rsidR="004E0A12" w:rsidRPr="001F2DEF">
              <w:rPr>
                <w:b/>
              </w:rPr>
              <w:t xml:space="preserve">evidence base for </w:t>
            </w:r>
            <w:r w:rsidR="009A6292" w:rsidRPr="001F2DEF">
              <w:rPr>
                <w:b/>
              </w:rPr>
              <w:t>the content, including providing references or links</w:t>
            </w:r>
            <w:r w:rsidR="001F2DEF" w:rsidRPr="001F2DEF">
              <w:rPr>
                <w:b/>
              </w:rPr>
              <w:t>.</w:t>
            </w:r>
          </w:p>
        </w:tc>
      </w:tr>
      <w:tr w:rsidR="00F57BED" w14:paraId="35397E5F" w14:textId="77777777" w:rsidTr="0042795F">
        <w:trPr>
          <w:trHeight w:val="800"/>
        </w:trPr>
        <w:tc>
          <w:tcPr>
            <w:tcW w:w="10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20" w:type="dxa"/>
              <w:right w:w="100" w:type="dxa"/>
            </w:tcMar>
          </w:tcPr>
          <w:p w14:paraId="2F1ADC67" w14:textId="77777777" w:rsidR="00F57BED" w:rsidRDefault="00906264" w:rsidP="0016359E">
            <w:pPr>
              <w:spacing w:line="240" w:lineRule="auto"/>
            </w:pPr>
            <w:r>
              <w:t>Examples:</w:t>
            </w:r>
          </w:p>
          <w:p w14:paraId="34862C91" w14:textId="68B89A2E" w:rsidR="00F57BED" w:rsidRDefault="00906264" w:rsidP="00052C8F">
            <w:pPr>
              <w:pStyle w:val="Exampleslist"/>
            </w:pPr>
            <w:r>
              <w:t xml:space="preserve">The presenter provides a list of references supporting the evidence-based practices that </w:t>
            </w:r>
            <w:r w:rsidR="00AC687F">
              <w:t>are</w:t>
            </w:r>
            <w:r>
              <w:t xml:space="preserve"> discussed</w:t>
            </w:r>
            <w:r w:rsidR="004D11EC">
              <w:t>.</w:t>
            </w:r>
          </w:p>
          <w:p w14:paraId="1A6885A7" w14:textId="43D106DB" w:rsidR="00F57BED" w:rsidRDefault="00906264" w:rsidP="00052C8F">
            <w:pPr>
              <w:pStyle w:val="Exampleslist"/>
            </w:pPr>
            <w:r>
              <w:t xml:space="preserve">References to research </w:t>
            </w:r>
            <w:r w:rsidR="006A7D18">
              <w:t xml:space="preserve">cited in the presentation </w:t>
            </w:r>
            <w:r>
              <w:t xml:space="preserve">are included in the </w:t>
            </w:r>
            <w:r w:rsidR="007144D8">
              <w:t>materials</w:t>
            </w:r>
            <w:r>
              <w:t xml:space="preserve"> for the session</w:t>
            </w:r>
            <w:r w:rsidR="004D11EC">
              <w:t>.</w:t>
            </w:r>
          </w:p>
          <w:p w14:paraId="661CF5AB" w14:textId="573EAA3D" w:rsidR="00F57BED" w:rsidRDefault="004D11EC" w:rsidP="00052C8F">
            <w:pPr>
              <w:pStyle w:val="Exampleslist"/>
            </w:pPr>
            <w:r>
              <w:t>During t</w:t>
            </w:r>
            <w:r w:rsidR="00906264">
              <w:t xml:space="preserve">he </w:t>
            </w:r>
            <w:r>
              <w:t>session, the presenter</w:t>
            </w:r>
            <w:r w:rsidR="00906264">
              <w:t xml:space="preserve"> refers to key researchers</w:t>
            </w:r>
            <w:r>
              <w:t xml:space="preserve">, </w:t>
            </w:r>
            <w:r w:rsidR="00906264">
              <w:t xml:space="preserve">details their contributions to the training content, </w:t>
            </w:r>
            <w:r>
              <w:t>and includes</w:t>
            </w:r>
            <w:r w:rsidR="00906264">
              <w:t xml:space="preserve"> links to their materials</w:t>
            </w:r>
            <w:r>
              <w:t>.</w:t>
            </w:r>
          </w:p>
          <w:p w14:paraId="36DC1C61" w14:textId="2C8C17DE" w:rsidR="00AC687F" w:rsidRDefault="00AC687F" w:rsidP="004E4210">
            <w:pPr>
              <w:pStyle w:val="Exampleslist"/>
            </w:pPr>
            <w:r>
              <w:lastRenderedPageBreak/>
              <w:t>During the training, the presenter refers to a research meta</w:t>
            </w:r>
            <w:r w:rsidR="004E4210">
              <w:t>-analysis</w:t>
            </w:r>
            <w:r>
              <w:t xml:space="preserve"> provided as a pre-reading activity.</w:t>
            </w:r>
          </w:p>
        </w:tc>
      </w:tr>
      <w:tr w:rsidR="00F57BED" w14:paraId="636A22EE" w14:textId="77777777" w:rsidTr="007C2862">
        <w:trPr>
          <w:trHeight w:val="305"/>
        </w:trPr>
        <w:tc>
          <w:tcPr>
            <w:tcW w:w="10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20" w:type="dxa"/>
              <w:right w:w="100" w:type="dxa"/>
            </w:tcMar>
          </w:tcPr>
          <w:p w14:paraId="379B7F29" w14:textId="50CDEE78" w:rsidR="00F57BED" w:rsidRDefault="00523018" w:rsidP="00610646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906264">
              <w:rPr>
                <w:b/>
              </w:rPr>
              <w:t>. Emphasizes the impact of the practice/content on improved outcomes (e.g., student achievement, client wellbeing)</w:t>
            </w:r>
            <w:r w:rsidR="004D11EC">
              <w:rPr>
                <w:b/>
              </w:rPr>
              <w:t>.</w:t>
            </w:r>
          </w:p>
        </w:tc>
      </w:tr>
      <w:tr w:rsidR="00F57BED" w14:paraId="75D8B850" w14:textId="77777777" w:rsidTr="0042795F">
        <w:trPr>
          <w:trHeight w:val="800"/>
        </w:trPr>
        <w:tc>
          <w:tcPr>
            <w:tcW w:w="10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20" w:type="dxa"/>
              <w:right w:w="100" w:type="dxa"/>
            </w:tcMar>
          </w:tcPr>
          <w:p w14:paraId="79CAF8E5" w14:textId="77777777" w:rsidR="00F57BED" w:rsidRDefault="00906264">
            <w:pPr>
              <w:spacing w:line="240" w:lineRule="auto"/>
            </w:pPr>
            <w:r>
              <w:t>Examples:</w:t>
            </w:r>
          </w:p>
          <w:p w14:paraId="7ABB73BB" w14:textId="4ED7AE76" w:rsidR="00F57BED" w:rsidRDefault="00906264" w:rsidP="00052C8F">
            <w:pPr>
              <w:pStyle w:val="Exampleslist"/>
            </w:pPr>
            <w:r>
              <w:t xml:space="preserve">The presenter </w:t>
            </w:r>
            <w:r w:rsidR="00052C8F">
              <w:t xml:space="preserve">provides </w:t>
            </w:r>
            <w:r>
              <w:t xml:space="preserve">evidence demonstrating that the intervention positively impacts </w:t>
            </w:r>
            <w:r w:rsidR="00DA32EB">
              <w:t xml:space="preserve">in-school or </w:t>
            </w:r>
            <w:r w:rsidR="00AB68DE">
              <w:t xml:space="preserve">postsecondary </w:t>
            </w:r>
            <w:r>
              <w:t>outcomes</w:t>
            </w:r>
            <w:r w:rsidR="00DA32EB">
              <w:t xml:space="preserve"> for students.</w:t>
            </w:r>
          </w:p>
          <w:p w14:paraId="6F9DE05D" w14:textId="109761E4" w:rsidR="00950DDC" w:rsidRDefault="006C3584" w:rsidP="00052C8F">
            <w:pPr>
              <w:pStyle w:val="Exampleslist"/>
            </w:pPr>
            <w:r>
              <w:t xml:space="preserve">The presenter discusses results for individual </w:t>
            </w:r>
            <w:r w:rsidR="00027B01">
              <w:t xml:space="preserve">children </w:t>
            </w:r>
            <w:r>
              <w:t>prior to</w:t>
            </w:r>
            <w:r w:rsidR="00A56080">
              <w:t xml:space="preserve"> </w:t>
            </w:r>
            <w:r>
              <w:t>and after the intervention.</w:t>
            </w:r>
          </w:p>
          <w:p w14:paraId="5D19414C" w14:textId="72938F3A" w:rsidR="00F57BED" w:rsidRDefault="00906264" w:rsidP="00052C8F">
            <w:pPr>
              <w:pStyle w:val="Exampleslist"/>
            </w:pPr>
            <w:r>
              <w:t>The presenter discusses evidence</w:t>
            </w:r>
            <w:r w:rsidR="00DA32EB">
              <w:t>, following implementation of the new practice, l</w:t>
            </w:r>
            <w:r>
              <w:t>ink</w:t>
            </w:r>
            <w:r w:rsidR="00DA32EB">
              <w:t>ing</w:t>
            </w:r>
            <w:r>
              <w:t xml:space="preserve"> </w:t>
            </w:r>
            <w:r w:rsidR="006C3584">
              <w:t>staff wellbeing</w:t>
            </w:r>
            <w:r>
              <w:t xml:space="preserve"> to improved </w:t>
            </w:r>
            <w:r w:rsidR="006A7FB5">
              <w:t>outcomes</w:t>
            </w:r>
            <w:r w:rsidR="00950DDC">
              <w:t xml:space="preserve"> for students</w:t>
            </w:r>
            <w:r w:rsidR="00DA32EB">
              <w:t>.</w:t>
            </w:r>
          </w:p>
          <w:p w14:paraId="1D1CD309" w14:textId="1E628D60" w:rsidR="00AC687F" w:rsidRDefault="00AC687F" w:rsidP="00052C8F">
            <w:pPr>
              <w:pStyle w:val="Exampleslist"/>
            </w:pPr>
            <w:r>
              <w:t>Participants read and discuss synopses of research outlining outcomes for youth.</w:t>
            </w:r>
          </w:p>
        </w:tc>
      </w:tr>
      <w:tr w:rsidR="00523018" w14:paraId="664945FF" w14:textId="77777777" w:rsidTr="0042795F">
        <w:trPr>
          <w:trHeight w:val="269"/>
        </w:trPr>
        <w:tc>
          <w:tcPr>
            <w:tcW w:w="10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20" w:type="dxa"/>
              <w:right w:w="100" w:type="dxa"/>
            </w:tcMar>
          </w:tcPr>
          <w:p w14:paraId="4B8FCA1B" w14:textId="3839211A" w:rsidR="00523018" w:rsidRDefault="00C00A4B" w:rsidP="00523018">
            <w:pPr>
              <w:spacing w:line="240" w:lineRule="auto"/>
            </w:pPr>
            <w:r>
              <w:rPr>
                <w:b/>
              </w:rPr>
              <w:t>8</w:t>
            </w:r>
            <w:r w:rsidR="00523018">
              <w:rPr>
                <w:b/>
              </w:rPr>
              <w:t>. Provides model examples of the content in practice, connected to participants’ context.</w:t>
            </w:r>
          </w:p>
        </w:tc>
      </w:tr>
      <w:tr w:rsidR="00523018" w14:paraId="22D86D62" w14:textId="77777777" w:rsidTr="0042795F">
        <w:trPr>
          <w:trHeight w:val="800"/>
        </w:trPr>
        <w:tc>
          <w:tcPr>
            <w:tcW w:w="10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20" w:type="dxa"/>
              <w:right w:w="100" w:type="dxa"/>
            </w:tcMar>
          </w:tcPr>
          <w:p w14:paraId="5BAE6FD5" w14:textId="77777777" w:rsidR="00523018" w:rsidRDefault="00523018" w:rsidP="00523018">
            <w:pPr>
              <w:spacing w:line="240" w:lineRule="auto"/>
            </w:pPr>
            <w:r>
              <w:t>Examples:</w:t>
            </w:r>
          </w:p>
          <w:p w14:paraId="4E0513B9" w14:textId="77777777" w:rsidR="00523018" w:rsidRDefault="00523018" w:rsidP="00523018">
            <w:pPr>
              <w:pStyle w:val="Exampleslist"/>
            </w:pPr>
            <w:r>
              <w:t>The presenter provides video examples of the content being used by teachers across different grade levels.</w:t>
            </w:r>
          </w:p>
          <w:p w14:paraId="33D275C7" w14:textId="77777777" w:rsidR="00523018" w:rsidRDefault="00523018" w:rsidP="00523018">
            <w:pPr>
              <w:pStyle w:val="Exampleslist"/>
            </w:pPr>
            <w:r>
              <w:t>The presenter provides hands-on demonstrations and models how to use new technology tools in different ways, depending on participants’ roles.</w:t>
            </w:r>
          </w:p>
          <w:p w14:paraId="7810429D" w14:textId="399A426E" w:rsidR="00523018" w:rsidRDefault="00523018" w:rsidP="00027B01">
            <w:pPr>
              <w:spacing w:line="240" w:lineRule="auto"/>
              <w:ind w:left="333" w:hanging="180"/>
            </w:pPr>
            <w:r>
              <w:t xml:space="preserve">Each participant </w:t>
            </w:r>
            <w:r w:rsidR="00F915E0">
              <w:t>chooses</w:t>
            </w:r>
            <w:r>
              <w:t xml:space="preserve"> a case study from a selection representing</w:t>
            </w:r>
            <w:r w:rsidR="00F915E0">
              <w:t xml:space="preserve"> a variety of</w:t>
            </w:r>
            <w:r>
              <w:t xml:space="preserve"> relevant contexts, then discusses the implementation strengths and outcomes identified within the case study.</w:t>
            </w:r>
          </w:p>
        </w:tc>
      </w:tr>
      <w:tr w:rsidR="00B15AEC" w14:paraId="57DD281B" w14:textId="77777777" w:rsidTr="00B15AEC">
        <w:trPr>
          <w:trHeight w:val="340"/>
        </w:trPr>
        <w:tc>
          <w:tcPr>
            <w:tcW w:w="10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40" w:type="dxa"/>
              <w:left w:w="100" w:type="dxa"/>
              <w:bottom w:w="20" w:type="dxa"/>
              <w:right w:w="100" w:type="dxa"/>
            </w:tcMar>
            <w:vAlign w:val="center"/>
          </w:tcPr>
          <w:p w14:paraId="0C69F4B3" w14:textId="5D83E381" w:rsidR="00B15AEC" w:rsidRPr="002E694A" w:rsidRDefault="00B15AEC" w:rsidP="002E694A">
            <w:pPr>
              <w:pStyle w:val="Heading2"/>
            </w:pPr>
            <w:r>
              <w:t>Engaging in Learning</w:t>
            </w:r>
          </w:p>
        </w:tc>
      </w:tr>
      <w:tr w:rsidR="00523018" w14:paraId="4B4FC321" w14:textId="77777777" w:rsidTr="0042795F">
        <w:trPr>
          <w:trHeight w:val="320"/>
        </w:trPr>
        <w:tc>
          <w:tcPr>
            <w:tcW w:w="10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20" w:type="dxa"/>
              <w:right w:w="100" w:type="dxa"/>
            </w:tcMar>
          </w:tcPr>
          <w:p w14:paraId="05528F4A" w14:textId="5E34E8E3" w:rsidR="00523018" w:rsidRDefault="00C00A4B" w:rsidP="00523018">
            <w:pPr>
              <w:rPr>
                <w:b/>
              </w:rPr>
            </w:pPr>
            <w:r>
              <w:rPr>
                <w:b/>
              </w:rPr>
              <w:t>9</w:t>
            </w:r>
            <w:r w:rsidR="00523018">
              <w:rPr>
                <w:b/>
              </w:rPr>
              <w:t>. Builds on or relates to participants’ prior learning.</w:t>
            </w:r>
          </w:p>
        </w:tc>
      </w:tr>
      <w:tr w:rsidR="00523018" w14:paraId="012A971F" w14:textId="77777777" w:rsidTr="0042795F">
        <w:trPr>
          <w:trHeight w:val="320"/>
        </w:trPr>
        <w:tc>
          <w:tcPr>
            <w:tcW w:w="10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20" w:type="dxa"/>
              <w:right w:w="100" w:type="dxa"/>
            </w:tcMar>
          </w:tcPr>
          <w:p w14:paraId="318ACCC4" w14:textId="77777777" w:rsidR="00523018" w:rsidRDefault="00523018" w:rsidP="00523018">
            <w:pPr>
              <w:spacing w:line="240" w:lineRule="auto"/>
            </w:pPr>
            <w:r>
              <w:t>Examples:</w:t>
            </w:r>
          </w:p>
          <w:p w14:paraId="34DE43A9" w14:textId="77777777" w:rsidR="00523018" w:rsidRDefault="00523018" w:rsidP="00523018">
            <w:pPr>
              <w:pStyle w:val="Exampleslist"/>
            </w:pPr>
            <w:r>
              <w:t>The presenter describes how the content is an extension of participants’ existing knowledge/skills.</w:t>
            </w:r>
          </w:p>
          <w:p w14:paraId="03E403E0" w14:textId="7C85FED7" w:rsidR="00027B01" w:rsidRDefault="00523018" w:rsidP="00027B01">
            <w:pPr>
              <w:pStyle w:val="Exampleslist"/>
            </w:pPr>
            <w:r>
              <w:t xml:space="preserve">The presenter refers to content provided in previous trainings within a </w:t>
            </w:r>
            <w:r w:rsidR="00027B01">
              <w:t xml:space="preserve">sequence. </w:t>
            </w:r>
          </w:p>
          <w:p w14:paraId="6D697140" w14:textId="2C6D9B1A" w:rsidR="00523018" w:rsidRDefault="00027B01" w:rsidP="00027B01">
            <w:pPr>
              <w:pStyle w:val="Exampleslist"/>
              <w:rPr>
                <w:b/>
              </w:rPr>
            </w:pPr>
            <w:r>
              <w:t>The</w:t>
            </w:r>
            <w:r w:rsidR="00523018">
              <w:t xml:space="preserve"> presenter prompts participants to compare and contrast critical concepts to common practices within their field(s).</w:t>
            </w:r>
          </w:p>
        </w:tc>
      </w:tr>
      <w:tr w:rsidR="00523018" w14:paraId="0D4DECA9" w14:textId="77777777" w:rsidTr="0042795F">
        <w:trPr>
          <w:trHeight w:val="320"/>
        </w:trPr>
        <w:tc>
          <w:tcPr>
            <w:tcW w:w="10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20" w:type="dxa"/>
              <w:right w:w="100" w:type="dxa"/>
            </w:tcMar>
          </w:tcPr>
          <w:p w14:paraId="5A586CAC" w14:textId="5DEB5BB8" w:rsidR="00523018" w:rsidRDefault="00C00A4B" w:rsidP="00523018">
            <w:pPr>
              <w:rPr>
                <w:b/>
              </w:rPr>
            </w:pPr>
            <w:r>
              <w:rPr>
                <w:b/>
              </w:rPr>
              <w:t>10</w:t>
            </w:r>
            <w:r w:rsidR="00523018">
              <w:rPr>
                <w:b/>
              </w:rPr>
              <w:t xml:space="preserve">. Engages participants in higher-order thinking to learn each critical concept. </w:t>
            </w:r>
          </w:p>
        </w:tc>
      </w:tr>
      <w:tr w:rsidR="00523018" w14:paraId="587617A2" w14:textId="77777777" w:rsidTr="0042795F">
        <w:trPr>
          <w:trHeight w:val="476"/>
        </w:trPr>
        <w:tc>
          <w:tcPr>
            <w:tcW w:w="10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20" w:type="dxa"/>
              <w:right w:w="100" w:type="dxa"/>
            </w:tcMar>
          </w:tcPr>
          <w:p w14:paraId="017CD1A3" w14:textId="77777777" w:rsidR="00523018" w:rsidRDefault="00523018" w:rsidP="00523018">
            <w:pPr>
              <w:spacing w:line="240" w:lineRule="auto"/>
            </w:pPr>
            <w:r>
              <w:t>Examples:</w:t>
            </w:r>
          </w:p>
          <w:p w14:paraId="4D835E01" w14:textId="119DB62E" w:rsidR="00523018" w:rsidRDefault="00523018" w:rsidP="00523018">
            <w:pPr>
              <w:pStyle w:val="Exampleslist"/>
            </w:pPr>
            <w:r>
              <w:t>Using descriptive indicators of the content/practice, participants compare and contrast these indicators to their current practices.</w:t>
            </w:r>
          </w:p>
          <w:p w14:paraId="46C6A9FC" w14:textId="6692C2A6" w:rsidR="00523018" w:rsidRDefault="00523018" w:rsidP="00523018">
            <w:pPr>
              <w:pStyle w:val="Exampleslist"/>
            </w:pPr>
            <w:r>
              <w:t>The participants analyze a video example of an individual implementing the practice and then discuss strengths and weaknesses of the implementation.</w:t>
            </w:r>
          </w:p>
          <w:p w14:paraId="7DE0A457" w14:textId="1AF05BBA" w:rsidR="00523018" w:rsidRDefault="00523018" w:rsidP="00523018">
            <w:pPr>
              <w:pStyle w:val="Exampleslist"/>
            </w:pPr>
            <w:r>
              <w:t>The participants work together to formulate definitions of intervention components; then</w:t>
            </w:r>
            <w:r w:rsidR="00C06AA8">
              <w:t>,</w:t>
            </w:r>
            <w:r>
              <w:t xml:space="preserve"> they compare their definitions to those of an expert in the content.</w:t>
            </w:r>
          </w:p>
          <w:p w14:paraId="71620566" w14:textId="07424BF6" w:rsidR="00027B01" w:rsidRDefault="00027B01" w:rsidP="00610646">
            <w:pPr>
              <w:pStyle w:val="Exampleslist"/>
            </w:pPr>
            <w:r>
              <w:t xml:space="preserve">The presenter facilitates participants’ analysis of the critical concepts by using a graphic organizer to </w:t>
            </w:r>
            <w:r w:rsidR="00DE5351">
              <w:t>create a logic model of the</w:t>
            </w:r>
            <w:r>
              <w:t xml:space="preserve"> key elements</w:t>
            </w:r>
            <w:r w:rsidR="00DE5351">
              <w:t xml:space="preserve">. </w:t>
            </w:r>
            <w:r>
              <w:t xml:space="preserve"> </w:t>
            </w:r>
          </w:p>
        </w:tc>
      </w:tr>
      <w:tr w:rsidR="00523018" w14:paraId="6C851826" w14:textId="77777777" w:rsidTr="0042795F">
        <w:trPr>
          <w:trHeight w:val="300"/>
        </w:trPr>
        <w:tc>
          <w:tcPr>
            <w:tcW w:w="10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20" w:type="dxa"/>
              <w:right w:w="100" w:type="dxa"/>
            </w:tcMar>
          </w:tcPr>
          <w:p w14:paraId="0F55E028" w14:textId="58C531A2" w:rsidR="00523018" w:rsidRDefault="00523018" w:rsidP="00C00A4B">
            <w:pPr>
              <w:rPr>
                <w:b/>
              </w:rPr>
            </w:pPr>
            <w:r w:rsidRPr="009F116D">
              <w:rPr>
                <w:b/>
              </w:rPr>
              <w:t xml:space="preserve">11. </w:t>
            </w:r>
            <w:r w:rsidR="00C00A4B">
              <w:rPr>
                <w:b/>
              </w:rPr>
              <w:t>Prompts each participant</w:t>
            </w:r>
            <w:r w:rsidRPr="009F116D">
              <w:rPr>
                <w:b/>
              </w:rPr>
              <w:t xml:space="preserve"> </w:t>
            </w:r>
            <w:r w:rsidRPr="005304A3">
              <w:rPr>
                <w:b/>
              </w:rPr>
              <w:t xml:space="preserve">to </w:t>
            </w:r>
            <w:r w:rsidR="00C00A4B">
              <w:rPr>
                <w:b/>
              </w:rPr>
              <w:t>relate</w:t>
            </w:r>
            <w:r w:rsidRPr="005304A3">
              <w:rPr>
                <w:b/>
              </w:rPr>
              <w:t xml:space="preserve"> the content </w:t>
            </w:r>
            <w:r w:rsidR="00C00A4B">
              <w:rPr>
                <w:b/>
              </w:rPr>
              <w:t>to their context</w:t>
            </w:r>
            <w:r>
              <w:rPr>
                <w:b/>
              </w:rPr>
              <w:t>.</w:t>
            </w:r>
          </w:p>
        </w:tc>
      </w:tr>
      <w:tr w:rsidR="00523018" w14:paraId="7DE4872E" w14:textId="77777777" w:rsidTr="0042795F">
        <w:trPr>
          <w:trHeight w:val="800"/>
        </w:trPr>
        <w:tc>
          <w:tcPr>
            <w:tcW w:w="10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20" w:type="dxa"/>
              <w:right w:w="100" w:type="dxa"/>
            </w:tcMar>
          </w:tcPr>
          <w:p w14:paraId="48FC5DCB" w14:textId="77777777" w:rsidR="00523018" w:rsidRDefault="00523018" w:rsidP="00523018">
            <w:pPr>
              <w:spacing w:line="240" w:lineRule="auto"/>
            </w:pPr>
            <w:r>
              <w:t>Examples:</w:t>
            </w:r>
          </w:p>
          <w:p w14:paraId="5CABA5CD" w14:textId="512F9D00" w:rsidR="00523018" w:rsidRDefault="00523018" w:rsidP="00523018">
            <w:pPr>
              <w:pStyle w:val="Exampleslist"/>
            </w:pPr>
            <w:r>
              <w:t xml:space="preserve">Presenter promotes buy-in by prompting individual responses to ‘I think this practice would benefit my students because…’; and ‘A challenge that I anticipate is…’ Individuals then share their responses in groups. </w:t>
            </w:r>
          </w:p>
          <w:p w14:paraId="14A7157B" w14:textId="3B9ED216" w:rsidR="00523018" w:rsidRDefault="00523018" w:rsidP="00523018">
            <w:pPr>
              <w:pStyle w:val="Exampleslist"/>
            </w:pPr>
            <w:r>
              <w:t>Participants work together in small groups to strategize ways to overcome barriers to implementation, then share their ideas with the whole group.</w:t>
            </w:r>
          </w:p>
          <w:p w14:paraId="3623D223" w14:textId="77777777" w:rsidR="00523018" w:rsidRDefault="00523018" w:rsidP="00523018">
            <w:pPr>
              <w:pStyle w:val="Exampleslist"/>
            </w:pPr>
            <w:r>
              <w:t xml:space="preserve">To create a personal connection to content, each participant shares out modifications that he/she would make to customize the practices while maintaining fidelity. </w:t>
            </w:r>
          </w:p>
          <w:p w14:paraId="53FBCC96" w14:textId="76E768EA" w:rsidR="009F41E6" w:rsidRDefault="009F41E6" w:rsidP="00610646">
            <w:pPr>
              <w:pStyle w:val="Exampleslist"/>
            </w:pPr>
            <w:r>
              <w:t xml:space="preserve">Participants work individually to </w:t>
            </w:r>
            <w:r w:rsidR="00610646">
              <w:t>revise</w:t>
            </w:r>
            <w:r>
              <w:t xml:space="preserve"> an instructional plan for a student using the critical concepts, then share with their team prior to the next session in the online series.</w:t>
            </w:r>
          </w:p>
        </w:tc>
      </w:tr>
      <w:tr w:rsidR="00523018" w14:paraId="29EAE7D5" w14:textId="77777777" w:rsidTr="0042795F">
        <w:trPr>
          <w:trHeight w:val="270"/>
        </w:trPr>
        <w:tc>
          <w:tcPr>
            <w:tcW w:w="10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20" w:type="dxa"/>
              <w:right w:w="100" w:type="dxa"/>
            </w:tcMar>
          </w:tcPr>
          <w:p w14:paraId="54E9D706" w14:textId="336E9BAB" w:rsidR="00523018" w:rsidRDefault="00523018" w:rsidP="00523018">
            <w:pPr>
              <w:rPr>
                <w:b/>
              </w:rPr>
            </w:pPr>
            <w:r>
              <w:rPr>
                <w:b/>
              </w:rPr>
              <w:t>12. Facilitates opportunities for participants to collaborate related to the critical concepts.</w:t>
            </w:r>
          </w:p>
        </w:tc>
      </w:tr>
      <w:tr w:rsidR="00523018" w14:paraId="235515A3" w14:textId="77777777" w:rsidTr="0042795F">
        <w:trPr>
          <w:trHeight w:val="800"/>
        </w:trPr>
        <w:tc>
          <w:tcPr>
            <w:tcW w:w="10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20" w:type="dxa"/>
              <w:right w:w="100" w:type="dxa"/>
            </w:tcMar>
          </w:tcPr>
          <w:p w14:paraId="261954B0" w14:textId="77777777" w:rsidR="00523018" w:rsidRDefault="00523018" w:rsidP="00523018">
            <w:pPr>
              <w:spacing w:line="240" w:lineRule="auto"/>
            </w:pPr>
            <w:r>
              <w:t>Examples:</w:t>
            </w:r>
          </w:p>
          <w:p w14:paraId="4DB0F01A" w14:textId="2ECCF694" w:rsidR="00523018" w:rsidRDefault="00523018" w:rsidP="00523018">
            <w:pPr>
              <w:pStyle w:val="Exampleslist"/>
            </w:pPr>
            <w:r>
              <w:t>Each participant observes and analyzes a video example related to the content and discusses the findings in pairs or small groups.</w:t>
            </w:r>
          </w:p>
          <w:p w14:paraId="17F7FD60" w14:textId="3E6280F7" w:rsidR="00523018" w:rsidRDefault="00523018" w:rsidP="00523018">
            <w:pPr>
              <w:pStyle w:val="Exampleslist"/>
            </w:pPr>
            <w:r>
              <w:t>With partner</w:t>
            </w:r>
            <w:r w:rsidR="00C06AA8">
              <w:t>s</w:t>
            </w:r>
            <w:r>
              <w:t>, participants role play each of the practices being taught and reflect together on insights.</w:t>
            </w:r>
          </w:p>
          <w:p w14:paraId="684CDA4F" w14:textId="5219F60A" w:rsidR="00523018" w:rsidRDefault="00523018" w:rsidP="00523018">
            <w:pPr>
              <w:pStyle w:val="Exampleslist"/>
            </w:pPr>
            <w:r>
              <w:t xml:space="preserve">Through virtual discussion boards or breakout rooms, participants build on each other’s ideas regarding the implementation of critical training concepts. </w:t>
            </w:r>
          </w:p>
          <w:p w14:paraId="3C429248" w14:textId="77777777" w:rsidR="00523018" w:rsidRDefault="00523018" w:rsidP="00523018">
            <w:pPr>
              <w:pStyle w:val="Exampleslist"/>
            </w:pPr>
            <w:r>
              <w:t>The participants have opportunities, following each learning objective covered throughout the day, to process the information in teams.</w:t>
            </w:r>
          </w:p>
          <w:p w14:paraId="1FBFFCE1" w14:textId="2D89A1A7" w:rsidR="00523018" w:rsidRDefault="00FB0F0A" w:rsidP="00FB0F0A">
            <w:pPr>
              <w:pStyle w:val="Exampleslist"/>
            </w:pPr>
            <w:r>
              <w:t>During a webinar series</w:t>
            </w:r>
            <w:r w:rsidR="004C3E30">
              <w:t>,</w:t>
            </w:r>
            <w:r>
              <w:t xml:space="preserve"> local teams work together to complete application assignments between each meeting.</w:t>
            </w:r>
          </w:p>
        </w:tc>
      </w:tr>
      <w:tr w:rsidR="00523018" w14:paraId="5BD51696" w14:textId="77777777" w:rsidTr="0042795F">
        <w:trPr>
          <w:trHeight w:val="315"/>
        </w:trPr>
        <w:tc>
          <w:tcPr>
            <w:tcW w:w="10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20" w:type="dxa"/>
              <w:right w:w="100" w:type="dxa"/>
            </w:tcMar>
          </w:tcPr>
          <w:p w14:paraId="1E7A7B33" w14:textId="75EFBA47" w:rsidR="00523018" w:rsidRDefault="00523018" w:rsidP="00523018">
            <w:pPr>
              <w:rPr>
                <w:b/>
              </w:rPr>
            </w:pPr>
            <w:r>
              <w:rPr>
                <w:b/>
              </w:rPr>
              <w:t xml:space="preserve">13. Facilitates opportunities for each participant to practice applying the critical concepts. </w:t>
            </w:r>
          </w:p>
        </w:tc>
      </w:tr>
      <w:tr w:rsidR="00523018" w14:paraId="297C8979" w14:textId="77777777" w:rsidTr="0042795F">
        <w:trPr>
          <w:trHeight w:val="800"/>
        </w:trPr>
        <w:tc>
          <w:tcPr>
            <w:tcW w:w="10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20" w:type="dxa"/>
              <w:right w:w="100" w:type="dxa"/>
            </w:tcMar>
          </w:tcPr>
          <w:p w14:paraId="18D06823" w14:textId="77777777" w:rsidR="00523018" w:rsidRDefault="00523018" w:rsidP="00523018">
            <w:pPr>
              <w:spacing w:line="240" w:lineRule="auto"/>
            </w:pPr>
            <w:r>
              <w:t>Examples:</w:t>
            </w:r>
          </w:p>
          <w:p w14:paraId="0E37D2EC" w14:textId="18A5B7C2" w:rsidR="00523018" w:rsidRDefault="00523018" w:rsidP="00523018">
            <w:pPr>
              <w:pStyle w:val="Exampleslist"/>
            </w:pPr>
            <w:r>
              <w:t>After receiving training on how to complete an observation, participants practice completing the observation using a video example.</w:t>
            </w:r>
          </w:p>
          <w:p w14:paraId="0EA350CC" w14:textId="3F35DC04" w:rsidR="00523018" w:rsidRDefault="00523018" w:rsidP="00523018">
            <w:pPr>
              <w:pStyle w:val="Exampleslist"/>
            </w:pPr>
            <w:r>
              <w:t>The presenter has participants establish teams and practice a mock lesson using a newly learned instructional strategy.</w:t>
            </w:r>
          </w:p>
          <w:p w14:paraId="51695F3E" w14:textId="58E88C7A" w:rsidR="00523018" w:rsidRDefault="00523018" w:rsidP="00523018">
            <w:pPr>
              <w:pStyle w:val="Exampleslist"/>
            </w:pPr>
            <w:r>
              <w:t>After reviewing a data analysis skill, participants practice analyzing various graphs of data to identify areas of needed support.</w:t>
            </w:r>
          </w:p>
          <w:p w14:paraId="61492A46" w14:textId="514D7CE9" w:rsidR="00523018" w:rsidRDefault="00523018" w:rsidP="00523018">
            <w:pPr>
              <w:pStyle w:val="Exampleslist"/>
            </w:pPr>
            <w:r>
              <w:lastRenderedPageBreak/>
              <w:t xml:space="preserve">After learning a coaching skill, triads practice with one person acting as the coach, one </w:t>
            </w:r>
            <w:r w:rsidR="00F915E0">
              <w:t>as</w:t>
            </w:r>
            <w:r>
              <w:t xml:space="preserve"> the coaching recipient, and one observing and providing feedback, switching roles throughout the practice opportunities.</w:t>
            </w:r>
          </w:p>
          <w:p w14:paraId="2DA41E45" w14:textId="1C2DCDFC" w:rsidR="00523018" w:rsidRDefault="00523018" w:rsidP="00523018">
            <w:pPr>
              <w:pStyle w:val="Exampleslist"/>
            </w:pPr>
            <w:r>
              <w:t xml:space="preserve">Each participant modifies a lesson plan to incorporate the newly learned concepts. </w:t>
            </w:r>
          </w:p>
          <w:p w14:paraId="2A5F6A44" w14:textId="36235D0A" w:rsidR="00523018" w:rsidRDefault="00523018" w:rsidP="00523018">
            <w:pPr>
              <w:pStyle w:val="Exampleslist"/>
            </w:pPr>
            <w:r>
              <w:t xml:space="preserve">Using a case study, each participant determines the best course of action as outlined in a decision tree. </w:t>
            </w:r>
          </w:p>
        </w:tc>
      </w:tr>
      <w:tr w:rsidR="00B15AEC" w14:paraId="3383E7F6" w14:textId="77777777" w:rsidTr="00B15AEC">
        <w:trPr>
          <w:trHeight w:val="340"/>
        </w:trPr>
        <w:tc>
          <w:tcPr>
            <w:tcW w:w="10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40" w:type="dxa"/>
              <w:left w:w="100" w:type="dxa"/>
              <w:bottom w:w="20" w:type="dxa"/>
              <w:right w:w="100" w:type="dxa"/>
            </w:tcMar>
            <w:vAlign w:val="center"/>
          </w:tcPr>
          <w:p w14:paraId="7D11EB7C" w14:textId="6C503EBE" w:rsidR="00B15AEC" w:rsidRPr="00B15AEC" w:rsidRDefault="00B15AEC" w:rsidP="002E694A">
            <w:pPr>
              <w:pStyle w:val="Heading2"/>
            </w:pPr>
            <w:r>
              <w:lastRenderedPageBreak/>
              <w:t>Reflecting on Learning</w:t>
            </w:r>
          </w:p>
        </w:tc>
      </w:tr>
      <w:tr w:rsidR="00523018" w14:paraId="0A699CEE" w14:textId="77777777" w:rsidTr="0042795F">
        <w:trPr>
          <w:trHeight w:val="320"/>
        </w:trPr>
        <w:tc>
          <w:tcPr>
            <w:tcW w:w="10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20" w:type="dxa"/>
              <w:right w:w="100" w:type="dxa"/>
            </w:tcMar>
          </w:tcPr>
          <w:p w14:paraId="6666A234" w14:textId="066005FE" w:rsidR="00523018" w:rsidRDefault="00523018" w:rsidP="00523018">
            <w:pPr>
              <w:rPr>
                <w:b/>
              </w:rPr>
            </w:pPr>
            <w:r>
              <w:rPr>
                <w:b/>
              </w:rPr>
              <w:t>14. Provides constructive feedback within practice opportunities to promote the acquisition of skills.</w:t>
            </w:r>
          </w:p>
        </w:tc>
      </w:tr>
      <w:tr w:rsidR="00523018" w14:paraId="112CEF6D" w14:textId="77777777" w:rsidTr="0042795F">
        <w:trPr>
          <w:trHeight w:val="800"/>
        </w:trPr>
        <w:tc>
          <w:tcPr>
            <w:tcW w:w="10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20" w:type="dxa"/>
              <w:right w:w="100" w:type="dxa"/>
            </w:tcMar>
          </w:tcPr>
          <w:p w14:paraId="10B6097E" w14:textId="77777777" w:rsidR="00523018" w:rsidRDefault="00523018" w:rsidP="00523018">
            <w:pPr>
              <w:spacing w:line="240" w:lineRule="auto"/>
            </w:pPr>
            <w:r>
              <w:t>Examples:</w:t>
            </w:r>
          </w:p>
          <w:p w14:paraId="3296CEA3" w14:textId="0A291082" w:rsidR="00523018" w:rsidRDefault="00523018" w:rsidP="00523018">
            <w:pPr>
              <w:pStyle w:val="Exampleslist"/>
            </w:pPr>
            <w:r>
              <w:t>After receiving training on how to complete an observation, participants practice completing the observation using a video example and receive corrective feedback.</w:t>
            </w:r>
          </w:p>
          <w:p w14:paraId="5E820EF7" w14:textId="335B2059" w:rsidR="00523018" w:rsidRDefault="00523018" w:rsidP="00523018">
            <w:pPr>
              <w:pStyle w:val="Exampleslist"/>
            </w:pPr>
            <w:r>
              <w:t>The presenter has participants establish teams and practice a mock lesson using a newly learned instructional strategy, providing constructive feedback using an implementation checklist.</w:t>
            </w:r>
          </w:p>
          <w:p w14:paraId="33C7D835" w14:textId="096B7FC2" w:rsidR="00523018" w:rsidRDefault="00523018" w:rsidP="00523018">
            <w:pPr>
              <w:pStyle w:val="Exampleslist"/>
            </w:pPr>
            <w:r>
              <w:t>The participants practice analyzing various graphs of data and compare their analysis to an expert model with the presenter providing further instruction regarding discrepancies.</w:t>
            </w:r>
          </w:p>
          <w:p w14:paraId="623AA03A" w14:textId="6A929A2B" w:rsidR="00523018" w:rsidRDefault="00523018" w:rsidP="00523018">
            <w:pPr>
              <w:pStyle w:val="Exampleslist"/>
            </w:pPr>
            <w:r>
              <w:t xml:space="preserve">Triads practice coaching skills with one person acting as the coach, one acting as the coaching recipient, and one observing and providing feedback based on a checklist of coaching behaviors. </w:t>
            </w:r>
          </w:p>
          <w:p w14:paraId="43873B1A" w14:textId="5908FE0D" w:rsidR="00523018" w:rsidRDefault="00523018" w:rsidP="00523018">
            <w:pPr>
              <w:pStyle w:val="Exampleslist"/>
            </w:pPr>
            <w:r>
              <w:t xml:space="preserve">Each participant briefly describes their lesson plan modifications, receiving feedback from the presenter. </w:t>
            </w:r>
          </w:p>
          <w:p w14:paraId="3E850C12" w14:textId="3F59AD1D" w:rsidR="00523018" w:rsidRDefault="00523018" w:rsidP="00523018">
            <w:pPr>
              <w:pStyle w:val="Exampleslist"/>
            </w:pPr>
            <w:r>
              <w:t xml:space="preserve">After each participant determines the best course of action in a case study, the presenter provides the best answer with justification, answering questions from participants. </w:t>
            </w:r>
          </w:p>
        </w:tc>
      </w:tr>
      <w:tr w:rsidR="00523018" w14:paraId="0740F1D7" w14:textId="77777777" w:rsidTr="0042795F">
        <w:trPr>
          <w:trHeight w:val="320"/>
        </w:trPr>
        <w:tc>
          <w:tcPr>
            <w:tcW w:w="10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20" w:type="dxa"/>
              <w:right w:w="100" w:type="dxa"/>
            </w:tcMar>
          </w:tcPr>
          <w:p w14:paraId="1D4F5372" w14:textId="0CCC67A0" w:rsidR="00523018" w:rsidRPr="009F116D" w:rsidRDefault="00C00A4B" w:rsidP="00523018">
            <w:pPr>
              <w:rPr>
                <w:b/>
              </w:rPr>
            </w:pPr>
            <w:r>
              <w:rPr>
                <w:b/>
              </w:rPr>
              <w:t>15</w:t>
            </w:r>
            <w:r w:rsidR="00523018">
              <w:rPr>
                <w:b/>
              </w:rPr>
              <w:t>. Engages each participant in assessment of knowledge/skill acquisition with corrective feedback.</w:t>
            </w:r>
          </w:p>
        </w:tc>
      </w:tr>
      <w:tr w:rsidR="00523018" w14:paraId="18328B22" w14:textId="77777777" w:rsidTr="0042795F">
        <w:trPr>
          <w:trHeight w:val="320"/>
        </w:trPr>
        <w:tc>
          <w:tcPr>
            <w:tcW w:w="10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20" w:type="dxa"/>
              <w:right w:w="100" w:type="dxa"/>
            </w:tcMar>
          </w:tcPr>
          <w:p w14:paraId="0B4FACEC" w14:textId="77777777" w:rsidR="00523018" w:rsidRPr="00120C3A" w:rsidRDefault="00523018" w:rsidP="00523018">
            <w:pPr>
              <w:spacing w:line="240" w:lineRule="auto"/>
            </w:pPr>
            <w:r w:rsidRPr="00120C3A">
              <w:t>Examples:</w:t>
            </w:r>
          </w:p>
          <w:p w14:paraId="36ECB2C4" w14:textId="0117ABFD" w:rsidR="00523018" w:rsidRPr="00120C3A" w:rsidRDefault="00523018" w:rsidP="00523018">
            <w:pPr>
              <w:pStyle w:val="Exampleslist"/>
            </w:pPr>
            <w:r w:rsidRPr="00120C3A">
              <w:t xml:space="preserve">The learning targets are used as a quiz with open-ended answers. Participants answer each question, and then the presenter displays and discusses the correct answers with the whole group, correcting any misconceptions. </w:t>
            </w:r>
          </w:p>
          <w:p w14:paraId="1965BD8D" w14:textId="77777777" w:rsidR="00523018" w:rsidRPr="00120C3A" w:rsidRDefault="00523018" w:rsidP="00523018">
            <w:pPr>
              <w:pStyle w:val="Exampleslist"/>
            </w:pPr>
            <w:r w:rsidRPr="00120C3A">
              <w:t>Each participant demonstrates the use of specific procedures and receives feedback from an expert based on how to correctly complete the process.</w:t>
            </w:r>
          </w:p>
          <w:p w14:paraId="0AA98918" w14:textId="24A7080D" w:rsidR="00523018" w:rsidRPr="00120C3A" w:rsidRDefault="00523018" w:rsidP="00523018">
            <w:pPr>
              <w:pStyle w:val="Exampleslist"/>
            </w:pPr>
            <w:r w:rsidRPr="00120C3A">
              <w:t>Each participant completes a posttest and receives correct answers with a justification of why each answer is correct.</w:t>
            </w:r>
          </w:p>
          <w:p w14:paraId="2734306D" w14:textId="1A2305C6" w:rsidR="00523018" w:rsidRPr="00120C3A" w:rsidRDefault="00146A75" w:rsidP="00523018">
            <w:pPr>
              <w:pStyle w:val="Exampleslist"/>
            </w:pPr>
            <w:r>
              <w:t>Each participant</w:t>
            </w:r>
            <w:r w:rsidR="00523018" w:rsidRPr="00120C3A">
              <w:t xml:space="preserve"> analyzes a lesson plan based on an implementation rubric and then compares the analysis to an expert model. </w:t>
            </w:r>
          </w:p>
        </w:tc>
      </w:tr>
      <w:tr w:rsidR="00523018" w14:paraId="1DAC4809" w14:textId="77777777" w:rsidTr="0042795F">
        <w:trPr>
          <w:trHeight w:val="320"/>
        </w:trPr>
        <w:tc>
          <w:tcPr>
            <w:tcW w:w="10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20" w:type="dxa"/>
              <w:right w:w="100" w:type="dxa"/>
            </w:tcMar>
          </w:tcPr>
          <w:p w14:paraId="62381C8D" w14:textId="45B9540D" w:rsidR="00523018" w:rsidRPr="000F3829" w:rsidRDefault="00523018" w:rsidP="00C00A4B">
            <w:pPr>
              <w:rPr>
                <w:b/>
                <w:color w:val="FF0000"/>
              </w:rPr>
            </w:pPr>
            <w:r w:rsidRPr="000F3829">
              <w:rPr>
                <w:b/>
              </w:rPr>
              <w:t>1</w:t>
            </w:r>
            <w:r w:rsidR="00C00A4B" w:rsidRPr="000F3829">
              <w:rPr>
                <w:b/>
              </w:rPr>
              <w:t>6</w:t>
            </w:r>
            <w:r w:rsidRPr="000F3829">
              <w:rPr>
                <w:b/>
              </w:rPr>
              <w:t xml:space="preserve">. </w:t>
            </w:r>
            <w:r w:rsidR="000F3829" w:rsidRPr="000F3829">
              <w:rPr>
                <w:b/>
              </w:rPr>
              <w:t>Facilitates opportunities for participants to reflect on how learning will influence their practice.</w:t>
            </w:r>
          </w:p>
        </w:tc>
      </w:tr>
      <w:tr w:rsidR="00523018" w14:paraId="41F123EF" w14:textId="77777777" w:rsidTr="0042795F">
        <w:trPr>
          <w:trHeight w:val="485"/>
        </w:trPr>
        <w:tc>
          <w:tcPr>
            <w:tcW w:w="10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20" w:type="dxa"/>
              <w:right w:w="100" w:type="dxa"/>
            </w:tcMar>
          </w:tcPr>
          <w:p w14:paraId="75544095" w14:textId="77777777" w:rsidR="00523018" w:rsidRDefault="00523018" w:rsidP="00523018">
            <w:pPr>
              <w:spacing w:line="240" w:lineRule="auto"/>
            </w:pPr>
            <w:r>
              <w:t>Examples:</w:t>
            </w:r>
          </w:p>
          <w:p w14:paraId="3C3E80A0" w14:textId="2D451B74" w:rsidR="00523018" w:rsidRDefault="00523018" w:rsidP="00523018">
            <w:pPr>
              <w:pStyle w:val="Exampleslist"/>
            </w:pPr>
            <w:r>
              <w:t>In a worksheet, participants describe their current practices and the changes they will make to these practices based on training content.</w:t>
            </w:r>
          </w:p>
          <w:p w14:paraId="44D95490" w14:textId="68AFBE60" w:rsidR="00523018" w:rsidRDefault="00523018" w:rsidP="00523018">
            <w:pPr>
              <w:pStyle w:val="Exampleslist"/>
            </w:pPr>
            <w:r>
              <w:t xml:space="preserve">After participants identify </w:t>
            </w:r>
            <w:r w:rsidR="009F50D5">
              <w:t xml:space="preserve">the </w:t>
            </w:r>
            <w:r>
              <w:t>new skills they have developed or refined, they edit one of their existing lesson plans to include these elements.</w:t>
            </w:r>
          </w:p>
          <w:p w14:paraId="608DFB5E" w14:textId="4097873B" w:rsidR="00523018" w:rsidRDefault="00523018" w:rsidP="00F915E0">
            <w:pPr>
              <w:pStyle w:val="Exampleslist"/>
            </w:pPr>
            <w:r>
              <w:t xml:space="preserve">After the participants identify new procedures </w:t>
            </w:r>
            <w:r w:rsidR="00F915E0">
              <w:t xml:space="preserve">for analyzing </w:t>
            </w:r>
            <w:r>
              <w:t>progress monitoring graphs, they edit their existing protocols to include these steps.</w:t>
            </w:r>
          </w:p>
        </w:tc>
      </w:tr>
      <w:tr w:rsidR="00523018" w14:paraId="77E06FE0" w14:textId="77777777" w:rsidTr="0042795F">
        <w:trPr>
          <w:trHeight w:val="251"/>
        </w:trPr>
        <w:tc>
          <w:tcPr>
            <w:tcW w:w="10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20" w:type="dxa"/>
              <w:right w:w="100" w:type="dxa"/>
            </w:tcMar>
          </w:tcPr>
          <w:p w14:paraId="06A80BFC" w14:textId="68614093" w:rsidR="00523018" w:rsidRPr="00751007" w:rsidRDefault="00523018" w:rsidP="00523018">
            <w:pPr>
              <w:rPr>
                <w:b/>
              </w:rPr>
            </w:pPr>
            <w:r w:rsidRPr="00751007">
              <w:rPr>
                <w:b/>
              </w:rPr>
              <w:t>17.  Establishes a process for participants’ continued reflection on implementation and impact.</w:t>
            </w:r>
          </w:p>
        </w:tc>
      </w:tr>
      <w:tr w:rsidR="00523018" w14:paraId="0A44892B" w14:textId="77777777" w:rsidTr="0042795F">
        <w:trPr>
          <w:trHeight w:val="800"/>
        </w:trPr>
        <w:tc>
          <w:tcPr>
            <w:tcW w:w="10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20" w:type="dxa"/>
              <w:right w:w="100" w:type="dxa"/>
            </w:tcMar>
          </w:tcPr>
          <w:p w14:paraId="521269CA" w14:textId="77777777" w:rsidR="00523018" w:rsidRDefault="00523018" w:rsidP="00523018">
            <w:pPr>
              <w:spacing w:line="240" w:lineRule="auto"/>
            </w:pPr>
            <w:r>
              <w:t>Examples:</w:t>
            </w:r>
          </w:p>
          <w:p w14:paraId="68681CAC" w14:textId="4B1CD516" w:rsidR="00523018" w:rsidRDefault="00523018" w:rsidP="00523018">
            <w:pPr>
              <w:pStyle w:val="Exampleslist"/>
            </w:pPr>
            <w:r>
              <w:t xml:space="preserve">Expectations </w:t>
            </w:r>
            <w:r w:rsidR="0022268B">
              <w:t>for</w:t>
            </w:r>
            <w:r>
              <w:t xml:space="preserve"> a follow-up session include presentations by each participant in which </w:t>
            </w:r>
            <w:r w:rsidR="00F915E0">
              <w:t xml:space="preserve">they describe </w:t>
            </w:r>
            <w:r w:rsidR="00AE4EBF">
              <w:t>the</w:t>
            </w:r>
            <w:r>
              <w:t xml:space="preserve"> </w:t>
            </w:r>
            <w:r w:rsidR="00AE4EBF">
              <w:t xml:space="preserve">implementation of </w:t>
            </w:r>
            <w:r>
              <w:t>each component of the practice and the results.</w:t>
            </w:r>
          </w:p>
          <w:p w14:paraId="76BC039D" w14:textId="28BA4E90" w:rsidR="00523018" w:rsidRDefault="00523018" w:rsidP="00523018">
            <w:pPr>
              <w:pStyle w:val="Exampleslist"/>
            </w:pPr>
            <w:r>
              <w:t xml:space="preserve">Through a discussion forum, participants describe the strengths of their instruction based on a practice profile, areas they plan to improve in the future, and the impact on student engagement. </w:t>
            </w:r>
          </w:p>
          <w:p w14:paraId="4F5326AC" w14:textId="332D78F1" w:rsidR="00523018" w:rsidRDefault="00523018" w:rsidP="00523018">
            <w:pPr>
              <w:pStyle w:val="Exampleslist"/>
            </w:pPr>
            <w:r>
              <w:t>Each participant</w:t>
            </w:r>
            <w:r w:rsidR="00040101">
              <w:t>’</w:t>
            </w:r>
            <w:r>
              <w:t>s action plan includes a timeline for self-assessment and reflection on</w:t>
            </w:r>
            <w:r w:rsidR="00AE4EBF">
              <w:t xml:space="preserve"> success in meeting</w:t>
            </w:r>
            <w:r>
              <w:t xml:space="preserve"> indicators of effectiveness.</w:t>
            </w:r>
          </w:p>
          <w:p w14:paraId="061FBA8E" w14:textId="72859229" w:rsidR="00523018" w:rsidRDefault="00523018" w:rsidP="00FB0F0A">
            <w:pPr>
              <w:pStyle w:val="Exampleslist"/>
            </w:pPr>
            <w:r>
              <w:t xml:space="preserve">Teams establish a process for obtaining and analyzing fidelity </w:t>
            </w:r>
            <w:r w:rsidR="00FB0F0A">
              <w:t xml:space="preserve">and outcome </w:t>
            </w:r>
            <w:r>
              <w:t xml:space="preserve">data as well as determining adjustments based on the data. </w:t>
            </w:r>
          </w:p>
        </w:tc>
      </w:tr>
      <w:tr w:rsidR="00B15AEC" w14:paraId="4234AF46" w14:textId="77777777" w:rsidTr="00B15AEC">
        <w:trPr>
          <w:trHeight w:val="188"/>
        </w:trPr>
        <w:tc>
          <w:tcPr>
            <w:tcW w:w="10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40" w:type="dxa"/>
              <w:left w:w="100" w:type="dxa"/>
              <w:bottom w:w="20" w:type="dxa"/>
              <w:right w:w="100" w:type="dxa"/>
            </w:tcMar>
            <w:vAlign w:val="center"/>
          </w:tcPr>
          <w:p w14:paraId="0260449B" w14:textId="3F531B8E" w:rsidR="00B15AEC" w:rsidRPr="00B15AEC" w:rsidRDefault="00B15AEC" w:rsidP="002E694A">
            <w:pPr>
              <w:pStyle w:val="Heading2"/>
            </w:pPr>
            <w:r>
              <w:t xml:space="preserve">Transferring Learning to </w:t>
            </w:r>
            <w:r w:rsidRPr="00B15AEC">
              <w:t>Practice</w:t>
            </w:r>
          </w:p>
        </w:tc>
      </w:tr>
      <w:tr w:rsidR="00C00A4B" w14:paraId="78AA65E8" w14:textId="77777777" w:rsidTr="0042795F">
        <w:trPr>
          <w:trHeight w:val="320"/>
        </w:trPr>
        <w:tc>
          <w:tcPr>
            <w:tcW w:w="10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20" w:type="dxa"/>
              <w:right w:w="100" w:type="dxa"/>
            </w:tcMar>
          </w:tcPr>
          <w:p w14:paraId="77A10E31" w14:textId="6FB723D1" w:rsidR="009C5CE5" w:rsidRDefault="00C00A4B" w:rsidP="00DB3A60">
            <w:pPr>
              <w:rPr>
                <w:b/>
              </w:rPr>
            </w:pPr>
            <w:r>
              <w:rPr>
                <w:b/>
              </w:rPr>
              <w:t xml:space="preserve">18. </w:t>
            </w:r>
            <w:r w:rsidR="00DB3A60" w:rsidRPr="00DB3A60">
              <w:rPr>
                <w:rFonts w:cstheme="minorHAnsi"/>
                <w:b/>
              </w:rPr>
              <w:t xml:space="preserve">Outlines criteria </w:t>
            </w:r>
            <w:r w:rsidR="00DB3A60" w:rsidRPr="00DB3A60">
              <w:rPr>
                <w:rFonts w:cstheme="minorHAnsi"/>
                <w:b/>
                <w:bCs/>
                <w:iCs/>
              </w:rPr>
              <w:t>that illustrate a successful transfer of the critical concepts to practice.</w:t>
            </w:r>
          </w:p>
        </w:tc>
      </w:tr>
      <w:tr w:rsidR="00C00A4B" w14:paraId="5B7BB077" w14:textId="77777777" w:rsidTr="0042795F">
        <w:trPr>
          <w:trHeight w:val="320"/>
        </w:trPr>
        <w:tc>
          <w:tcPr>
            <w:tcW w:w="10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20" w:type="dxa"/>
              <w:right w:w="100" w:type="dxa"/>
            </w:tcMar>
          </w:tcPr>
          <w:p w14:paraId="3CBFDF5D" w14:textId="77777777" w:rsidR="00C00A4B" w:rsidRDefault="00C00A4B" w:rsidP="00C00A4B">
            <w:pPr>
              <w:spacing w:line="240" w:lineRule="auto"/>
            </w:pPr>
            <w:r>
              <w:t>Examples:</w:t>
            </w:r>
          </w:p>
          <w:p w14:paraId="27E8C369" w14:textId="7A899CC9" w:rsidR="00C00A4B" w:rsidRDefault="009C5CE5" w:rsidP="00C00A4B">
            <w:pPr>
              <w:pStyle w:val="Exampleslist"/>
            </w:pPr>
            <w:r>
              <w:t xml:space="preserve">The presenter reviews an implementation </w:t>
            </w:r>
            <w:r w:rsidR="00C00A4B">
              <w:t xml:space="preserve">checklist that details observable </w:t>
            </w:r>
            <w:r w:rsidR="009F50D5">
              <w:t>behaviors</w:t>
            </w:r>
            <w:r w:rsidR="00C00A4B">
              <w:t xml:space="preserve"> indicating successful practice.</w:t>
            </w:r>
          </w:p>
          <w:p w14:paraId="5639A953" w14:textId="1129127E" w:rsidR="00B15AEC" w:rsidRDefault="00C00A4B" w:rsidP="00B15AEC">
            <w:pPr>
              <w:pStyle w:val="Exampleslist"/>
            </w:pPr>
            <w:r>
              <w:t xml:space="preserve">The participants </w:t>
            </w:r>
            <w:r w:rsidR="001C055E">
              <w:t xml:space="preserve">analyze the steps of </w:t>
            </w:r>
            <w:r>
              <w:t xml:space="preserve">a flowchart that outlines the </w:t>
            </w:r>
            <w:r w:rsidR="001C055E">
              <w:t xml:space="preserve">sequence </w:t>
            </w:r>
            <w:r>
              <w:t>and decision-making points to complete a process.</w:t>
            </w:r>
          </w:p>
          <w:p w14:paraId="42958219" w14:textId="77777777" w:rsidR="001C055E" w:rsidRDefault="00C00A4B" w:rsidP="001C055E">
            <w:pPr>
              <w:pStyle w:val="Exampleslist"/>
            </w:pPr>
            <w:r>
              <w:t>The presenter reviews the</w:t>
            </w:r>
            <w:r w:rsidR="009C5CE5">
              <w:t xml:space="preserve"> practice profile</w:t>
            </w:r>
            <w:r>
              <w:t xml:space="preserve"> rubric to be used to determine fidelity.</w:t>
            </w:r>
          </w:p>
          <w:p w14:paraId="34AB13D8" w14:textId="0C50BD97" w:rsidR="001C055E" w:rsidRDefault="001C055E" w:rsidP="009F50D5">
            <w:pPr>
              <w:pStyle w:val="Exampleslist"/>
            </w:pPr>
            <w:r>
              <w:t>The participants work in teams to describe how sections of the implementation checklist might appear during instruction and engage in whole-group discussion.</w:t>
            </w:r>
          </w:p>
          <w:p w14:paraId="69FE4A77" w14:textId="099808F3" w:rsidR="00DF5A74" w:rsidRPr="00B15AEC" w:rsidRDefault="00DF5A74" w:rsidP="009F50D5">
            <w:pPr>
              <w:pStyle w:val="Exampleslist"/>
            </w:pPr>
            <w:r>
              <w:t>The presenter reviews the implementation playbook that includes a list of the key components and descriptions as well as a checklist of the essential components of the strategy.</w:t>
            </w:r>
          </w:p>
        </w:tc>
      </w:tr>
      <w:tr w:rsidR="00C00A4B" w14:paraId="58128403" w14:textId="77777777" w:rsidTr="0042795F">
        <w:trPr>
          <w:trHeight w:val="320"/>
        </w:trPr>
        <w:tc>
          <w:tcPr>
            <w:tcW w:w="10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20" w:type="dxa"/>
              <w:right w:w="100" w:type="dxa"/>
            </w:tcMar>
          </w:tcPr>
          <w:p w14:paraId="7A34D669" w14:textId="26B0D0F8" w:rsidR="00C00A4B" w:rsidRDefault="009961D4" w:rsidP="00C00A4B">
            <w:pPr>
              <w:rPr>
                <w:b/>
              </w:rPr>
            </w:pPr>
            <w:r>
              <w:rPr>
                <w:b/>
              </w:rPr>
              <w:t>19. Ensure</w:t>
            </w:r>
            <w:r w:rsidR="00610646">
              <w:rPr>
                <w:b/>
              </w:rPr>
              <w:t>s</w:t>
            </w:r>
            <w:r>
              <w:rPr>
                <w:b/>
              </w:rPr>
              <w:t xml:space="preserve"> that p</w:t>
            </w:r>
            <w:r w:rsidR="00C00A4B">
              <w:rPr>
                <w:b/>
              </w:rPr>
              <w:t>articipants leave with detailed action steps to apply their learning.</w:t>
            </w:r>
          </w:p>
        </w:tc>
      </w:tr>
      <w:tr w:rsidR="00C00A4B" w14:paraId="35564C55" w14:textId="77777777" w:rsidTr="0042795F">
        <w:trPr>
          <w:trHeight w:val="1484"/>
        </w:trPr>
        <w:tc>
          <w:tcPr>
            <w:tcW w:w="10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20" w:type="dxa"/>
              <w:right w:w="100" w:type="dxa"/>
            </w:tcMar>
          </w:tcPr>
          <w:p w14:paraId="595F4952" w14:textId="77777777" w:rsidR="00C00A4B" w:rsidRDefault="00C00A4B" w:rsidP="00C00A4B">
            <w:pPr>
              <w:spacing w:line="240" w:lineRule="auto"/>
            </w:pPr>
            <w:r>
              <w:lastRenderedPageBreak/>
              <w:t>Examples:</w:t>
            </w:r>
          </w:p>
          <w:p w14:paraId="378CADA6" w14:textId="2297C797" w:rsidR="00C00A4B" w:rsidRDefault="00C00A4B" w:rsidP="00C00A4B">
            <w:pPr>
              <w:pStyle w:val="Exampleslist"/>
            </w:pPr>
            <w:r>
              <w:t>Participat</w:t>
            </w:r>
            <w:r w:rsidR="00F915E0">
              <w:t>ing teams complete action plans that are shared with the trainer; plans include details on</w:t>
            </w:r>
            <w:r>
              <w:t xml:space="preserve"> activities, timeline, resources required, and individuals responsible.</w:t>
            </w:r>
          </w:p>
          <w:p w14:paraId="2AEE917F" w14:textId="10866AC6" w:rsidR="00C00A4B" w:rsidRDefault="00C00A4B" w:rsidP="00C00A4B">
            <w:pPr>
              <w:pStyle w:val="Exampleslist"/>
            </w:pPr>
            <w:r>
              <w:t>Individuals leave the training with due dates for implementing each component of the newly learned practice and a plan to reconvene after each due date to reflect on implementation and outcomes.</w:t>
            </w:r>
          </w:p>
          <w:p w14:paraId="1D5086F6" w14:textId="618A0E1C" w:rsidR="00C00A4B" w:rsidRDefault="00C00A4B" w:rsidP="00C00A4B">
            <w:pPr>
              <w:pStyle w:val="Exampleslist"/>
            </w:pPr>
            <w:r>
              <w:t xml:space="preserve">Interdisciplinary teams develop a strategy, including </w:t>
            </w:r>
            <w:r w:rsidR="00EA14B4">
              <w:t xml:space="preserve">the </w:t>
            </w:r>
            <w:r>
              <w:t xml:space="preserve">timeline and process, to provide </w:t>
            </w:r>
            <w:r w:rsidR="00EA14B4">
              <w:t xml:space="preserve">ongoing </w:t>
            </w:r>
            <w:r>
              <w:t>professional development across all school staff on the instructional strategies that were covered during the training.</w:t>
            </w:r>
          </w:p>
        </w:tc>
      </w:tr>
      <w:tr w:rsidR="00C00A4B" w14:paraId="10B3FD2D" w14:textId="77777777" w:rsidTr="0042795F">
        <w:trPr>
          <w:trHeight w:val="300"/>
        </w:trPr>
        <w:tc>
          <w:tcPr>
            <w:tcW w:w="10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20" w:type="dxa"/>
              <w:right w:w="100" w:type="dxa"/>
            </w:tcMar>
          </w:tcPr>
          <w:p w14:paraId="4520A703" w14:textId="1FD57DAF" w:rsidR="00C00A4B" w:rsidRDefault="00C00A4B" w:rsidP="00C00A4B">
            <w:pPr>
              <w:rPr>
                <w:b/>
              </w:rPr>
            </w:pPr>
            <w:r>
              <w:rPr>
                <w:b/>
              </w:rPr>
              <w:t xml:space="preserve">20. </w:t>
            </w:r>
            <w:r w:rsidRPr="0048426A">
              <w:rPr>
                <w:b/>
              </w:rPr>
              <w:t xml:space="preserve">Provides resources </w:t>
            </w:r>
            <w:r>
              <w:rPr>
                <w:b/>
              </w:rPr>
              <w:t xml:space="preserve">and </w:t>
            </w:r>
            <w:r w:rsidRPr="0048426A">
              <w:rPr>
                <w:b/>
              </w:rPr>
              <w:t>technical assistance for continued learning.</w:t>
            </w:r>
          </w:p>
        </w:tc>
      </w:tr>
      <w:tr w:rsidR="00C00A4B" w14:paraId="3BC58FCB" w14:textId="77777777" w:rsidTr="0042795F">
        <w:trPr>
          <w:trHeight w:val="215"/>
        </w:trPr>
        <w:tc>
          <w:tcPr>
            <w:tcW w:w="10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20" w:type="dxa"/>
              <w:right w:w="100" w:type="dxa"/>
            </w:tcMar>
          </w:tcPr>
          <w:p w14:paraId="64046E14" w14:textId="77777777" w:rsidR="00C00A4B" w:rsidRDefault="00C00A4B" w:rsidP="00C00A4B">
            <w:r>
              <w:t>Examples:</w:t>
            </w:r>
          </w:p>
          <w:p w14:paraId="18FFE117" w14:textId="0E74AF52" w:rsidR="00C00A4B" w:rsidRDefault="00C00A4B" w:rsidP="00C00A4B">
            <w:pPr>
              <w:pStyle w:val="Exampleslist"/>
            </w:pPr>
            <w:r>
              <w:t>The presenter describes future trainings that directly build on the content from the current training.</w:t>
            </w:r>
          </w:p>
          <w:p w14:paraId="2B6AF172" w14:textId="2D7690B7" w:rsidR="00C00A4B" w:rsidRDefault="00C00A4B" w:rsidP="00C00A4B">
            <w:pPr>
              <w:pStyle w:val="Exampleslist"/>
            </w:pPr>
            <w:r>
              <w:t>The presenter shows participants where to find additional materials on the project website to support the learning objectives.</w:t>
            </w:r>
          </w:p>
          <w:p w14:paraId="40BD5DD5" w14:textId="389A919A" w:rsidR="00C00A4B" w:rsidRDefault="00C00A4B" w:rsidP="00C00A4B">
            <w:pPr>
              <w:pStyle w:val="Exampleslist"/>
            </w:pPr>
            <w:r>
              <w:t>The presenter provides a link to online modules for more in-depth training on aspects of the content covered.</w:t>
            </w:r>
          </w:p>
        </w:tc>
      </w:tr>
      <w:tr w:rsidR="00C00A4B" w14:paraId="74514F62" w14:textId="77777777" w:rsidTr="0042795F">
        <w:trPr>
          <w:trHeight w:val="320"/>
        </w:trPr>
        <w:tc>
          <w:tcPr>
            <w:tcW w:w="10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20" w:type="dxa"/>
              <w:right w:w="100" w:type="dxa"/>
            </w:tcMar>
          </w:tcPr>
          <w:p w14:paraId="21772EF6" w14:textId="48664FEF" w:rsidR="00C00A4B" w:rsidRPr="008B2CDD" w:rsidRDefault="00C00A4B" w:rsidP="008B2CDD">
            <w:pPr>
              <w:rPr>
                <w:b/>
              </w:rPr>
            </w:pPr>
            <w:r w:rsidRPr="008B2CDD">
              <w:rPr>
                <w:b/>
              </w:rPr>
              <w:t xml:space="preserve">21. </w:t>
            </w:r>
            <w:r w:rsidR="008B2CDD" w:rsidRPr="008B2CDD">
              <w:rPr>
                <w:b/>
              </w:rPr>
              <w:t>Establishes ongoing, two-way communication (coaching) to improve the implementation fidelity of critical concepts.</w:t>
            </w:r>
          </w:p>
        </w:tc>
      </w:tr>
      <w:tr w:rsidR="00C00A4B" w14:paraId="67416032" w14:textId="77777777" w:rsidTr="0042795F">
        <w:trPr>
          <w:trHeight w:val="800"/>
        </w:trPr>
        <w:tc>
          <w:tcPr>
            <w:tcW w:w="10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20" w:type="dxa"/>
              <w:right w:w="100" w:type="dxa"/>
            </w:tcMar>
          </w:tcPr>
          <w:p w14:paraId="6E5F4F65" w14:textId="77777777" w:rsidR="00C00A4B" w:rsidRDefault="00C00A4B" w:rsidP="00C00A4B">
            <w:pPr>
              <w:spacing w:line="240" w:lineRule="auto"/>
            </w:pPr>
            <w:r>
              <w:t>Examples:</w:t>
            </w:r>
          </w:p>
          <w:p w14:paraId="5975CC01" w14:textId="7DC7C965" w:rsidR="00C00A4B" w:rsidRDefault="00C00A4B" w:rsidP="00C00A4B">
            <w:pPr>
              <w:pStyle w:val="Exampleslist"/>
            </w:pPr>
            <w:r>
              <w:t>Project coaches schedule times with each participant to provide follow-up in-person and</w:t>
            </w:r>
            <w:r w:rsidR="00EA14B4">
              <w:t>/or</w:t>
            </w:r>
            <w:r>
              <w:t xml:space="preserve"> online support to </w:t>
            </w:r>
            <w:r w:rsidR="00EA14B4">
              <w:t xml:space="preserve">increase </w:t>
            </w:r>
            <w:r>
              <w:t xml:space="preserve">fidelity </w:t>
            </w:r>
            <w:r w:rsidR="00EA14B4">
              <w:t>in</w:t>
            </w:r>
            <w:r>
              <w:t xml:space="preserve"> implementing the practice(s).</w:t>
            </w:r>
          </w:p>
          <w:p w14:paraId="17201503" w14:textId="23BB82A4" w:rsidR="00C00A4B" w:rsidRDefault="00C00A4B" w:rsidP="00C00A4B">
            <w:pPr>
              <w:pStyle w:val="Exampleslist"/>
            </w:pPr>
            <w:r>
              <w:t>The presenter provides monthly two-hour webinars to discuss barriers</w:t>
            </w:r>
            <w:r w:rsidR="00F915E0">
              <w:t>,</w:t>
            </w:r>
            <w:r>
              <w:t xml:space="preserve"> strategize solutions</w:t>
            </w:r>
            <w:r w:rsidR="00F915E0">
              <w:t>, and share</w:t>
            </w:r>
            <w:r>
              <w:t xml:space="preserve"> observed benefits of participation.</w:t>
            </w:r>
          </w:p>
          <w:p w14:paraId="0BA845A7" w14:textId="1D0619A1" w:rsidR="00C00A4B" w:rsidRDefault="00C00A4B" w:rsidP="00C00A4B">
            <w:pPr>
              <w:pStyle w:val="Exampleslist"/>
            </w:pPr>
            <w:r>
              <w:t>Participating district teams plan three follow-up meetings to review videos</w:t>
            </w:r>
            <w:r w:rsidR="005C7936">
              <w:t xml:space="preserve"> of</w:t>
            </w:r>
            <w:r w:rsidR="00797E3C">
              <w:t xml:space="preserve"> their </w:t>
            </w:r>
            <w:r w:rsidR="009F41E6">
              <w:t xml:space="preserve">own </w:t>
            </w:r>
            <w:r w:rsidR="00797E3C">
              <w:t>classrooms</w:t>
            </w:r>
            <w:r w:rsidR="005C7936">
              <w:t>,</w:t>
            </w:r>
            <w:r>
              <w:t xml:space="preserve"> based on a performance rubric</w:t>
            </w:r>
            <w:r w:rsidR="005C7936">
              <w:t>,</w:t>
            </w:r>
            <w:r>
              <w:t xml:space="preserve"> and provide additional support to each other on how to continually refine implementation of the practices. </w:t>
            </w:r>
          </w:p>
          <w:p w14:paraId="5A7FD9A9" w14:textId="4BD0C5E3" w:rsidR="00C00A4B" w:rsidRDefault="00C00A4B" w:rsidP="00C00A4B">
            <w:pPr>
              <w:pStyle w:val="Exampleslist"/>
            </w:pPr>
            <w:r>
              <w:t xml:space="preserve">The presenter facilitates the </w:t>
            </w:r>
            <w:r w:rsidR="00F915E0">
              <w:t>selection</w:t>
            </w:r>
            <w:r>
              <w:t xml:space="preserve"> of accountability partners (peer coach</w:t>
            </w:r>
            <w:r w:rsidR="00F915E0">
              <w:t>es</w:t>
            </w:r>
            <w:r>
              <w:t xml:space="preserve">) in which partners set multiple meeting times to discuss implementation and brainstorm solutions to challenges. </w:t>
            </w:r>
          </w:p>
          <w:p w14:paraId="44D2D4FA" w14:textId="6D9325B1" w:rsidR="00C00A4B" w:rsidRDefault="00C00A4B" w:rsidP="00C00A4B">
            <w:pPr>
              <w:pStyle w:val="Exampleslist"/>
            </w:pPr>
            <w:r w:rsidRPr="005826A1">
              <w:t>Project coaches offer support to district-level instructional coaches, who are tasked with providing ongoing, in-district coaching around the content</w:t>
            </w:r>
            <w:r>
              <w:t>.</w:t>
            </w:r>
          </w:p>
        </w:tc>
      </w:tr>
    </w:tbl>
    <w:p w14:paraId="31120D13" w14:textId="77777777" w:rsidR="0042795F" w:rsidRDefault="0042795F" w:rsidP="00BB77BD">
      <w:pPr>
        <w:spacing w:line="220" w:lineRule="exact"/>
        <w:rPr>
          <w:b/>
          <w:i w:val="0"/>
        </w:rPr>
      </w:pPr>
    </w:p>
    <w:p w14:paraId="1E8BD89C" w14:textId="062769CA" w:rsidR="00BB77BD" w:rsidRPr="00120C3A" w:rsidRDefault="00BB77BD" w:rsidP="00BB77BD">
      <w:pPr>
        <w:spacing w:line="220" w:lineRule="exact"/>
        <w:rPr>
          <w:b/>
          <w:i w:val="0"/>
        </w:rPr>
      </w:pPr>
      <w:r w:rsidRPr="00120C3A">
        <w:rPr>
          <w:b/>
          <w:i w:val="0"/>
        </w:rPr>
        <w:t>Citation:</w:t>
      </w:r>
    </w:p>
    <w:p w14:paraId="7601973C" w14:textId="20811865" w:rsidR="00BB77BD" w:rsidRPr="00120C3A" w:rsidRDefault="00BB77BD" w:rsidP="00BB77BD">
      <w:pPr>
        <w:pStyle w:val="Footer"/>
        <w:spacing w:after="240"/>
        <w:rPr>
          <w:rFonts w:ascii="Arial" w:hAnsi="Arial" w:cs="Arial"/>
          <w:sz w:val="18"/>
          <w:szCs w:val="18"/>
        </w:rPr>
      </w:pPr>
      <w:r w:rsidRPr="00120C3A">
        <w:rPr>
          <w:rFonts w:ascii="Arial" w:hAnsi="Arial" w:cs="Arial"/>
          <w:sz w:val="18"/>
          <w:szCs w:val="18"/>
        </w:rPr>
        <w:t xml:space="preserve">Gaumer Erickson, A.S., Noonan, P.M., Ault, M., Monroe, K., &amp; Brussow, J. (2020). </w:t>
      </w:r>
      <w:r w:rsidRPr="00A87594">
        <w:rPr>
          <w:rFonts w:ascii="Arial" w:hAnsi="Arial" w:cs="Arial"/>
          <w:i/>
          <w:sz w:val="18"/>
          <w:szCs w:val="18"/>
        </w:rPr>
        <w:t>Observation checklist for high-quality professional development [Version</w:t>
      </w:r>
      <w:r w:rsidR="00893529" w:rsidRPr="00A87594">
        <w:rPr>
          <w:rFonts w:ascii="Arial" w:hAnsi="Arial" w:cs="Arial"/>
          <w:i/>
          <w:sz w:val="18"/>
          <w:szCs w:val="18"/>
        </w:rPr>
        <w:t xml:space="preserve"> 3</w:t>
      </w:r>
      <w:r w:rsidRPr="00A87594">
        <w:rPr>
          <w:rFonts w:ascii="Arial" w:hAnsi="Arial" w:cs="Arial"/>
          <w:i/>
          <w:sz w:val="18"/>
          <w:szCs w:val="18"/>
        </w:rPr>
        <w:t>].</w:t>
      </w:r>
      <w:r w:rsidRPr="00120C3A">
        <w:rPr>
          <w:rFonts w:ascii="Arial" w:hAnsi="Arial" w:cs="Arial"/>
          <w:sz w:val="18"/>
          <w:szCs w:val="18"/>
        </w:rPr>
        <w:t xml:space="preserve"> Center fo</w:t>
      </w:r>
      <w:r w:rsidRPr="006068D3">
        <w:rPr>
          <w:rFonts w:ascii="Arial" w:hAnsi="Arial" w:cs="Arial"/>
          <w:sz w:val="18"/>
          <w:szCs w:val="18"/>
        </w:rPr>
        <w:t>r Research on Learning</w:t>
      </w:r>
      <w:r w:rsidR="006068D3">
        <w:rPr>
          <w:rFonts w:ascii="Arial" w:hAnsi="Arial" w:cs="Arial"/>
          <w:sz w:val="18"/>
          <w:szCs w:val="18"/>
        </w:rPr>
        <w:t>, University of Kansas</w:t>
      </w:r>
      <w:r w:rsidR="00893529" w:rsidRPr="006068D3">
        <w:rPr>
          <w:rFonts w:ascii="Arial" w:hAnsi="Arial" w:cs="Arial"/>
          <w:sz w:val="18"/>
          <w:szCs w:val="18"/>
        </w:rPr>
        <w:t>.</w:t>
      </w:r>
      <w:r w:rsidR="006068D3" w:rsidRPr="006068D3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6068D3" w:rsidRPr="006068D3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http://www.researchcollaboration.org/page/high-quality-professional-development-checklist</w:t>
        </w:r>
      </w:hyperlink>
    </w:p>
    <w:p w14:paraId="3613CC56" w14:textId="77777777" w:rsidR="00BB77BD" w:rsidRPr="00120C3A" w:rsidRDefault="00BB77BD" w:rsidP="00BB77BD">
      <w:pPr>
        <w:spacing w:line="220" w:lineRule="exact"/>
        <w:rPr>
          <w:i w:val="0"/>
        </w:rPr>
      </w:pPr>
      <w:r w:rsidRPr="00120C3A">
        <w:rPr>
          <w:b/>
          <w:i w:val="0"/>
        </w:rPr>
        <w:t xml:space="preserve">Authors’ Note: </w:t>
      </w:r>
    </w:p>
    <w:p w14:paraId="3092DCAE" w14:textId="2BD631A1" w:rsidR="00BB77BD" w:rsidRPr="00120C3A" w:rsidRDefault="0080533D" w:rsidP="00BB77BD">
      <w:pPr>
        <w:spacing w:line="220" w:lineRule="exact"/>
        <w:rPr>
          <w:i w:val="0"/>
        </w:rPr>
      </w:pPr>
      <w:r w:rsidRPr="00120C3A">
        <w:rPr>
          <w:i w:val="0"/>
        </w:rPr>
        <w:t xml:space="preserve">The developers have observed more than 500 professional development sessions, including face-to-face, virtual, and hybrid instructional formats. </w:t>
      </w:r>
      <w:r w:rsidR="0023384B">
        <w:rPr>
          <w:i w:val="0"/>
        </w:rPr>
        <w:t xml:space="preserve">This experience, as well as the evidence </w:t>
      </w:r>
      <w:r w:rsidR="00F915E0">
        <w:rPr>
          <w:i w:val="0"/>
        </w:rPr>
        <w:t>cited</w:t>
      </w:r>
      <w:r w:rsidR="0023384B">
        <w:rPr>
          <w:i w:val="0"/>
        </w:rPr>
        <w:t xml:space="preserve"> below, inform the revisions. Group events</w:t>
      </w:r>
      <w:r w:rsidR="0023384B" w:rsidRPr="00120C3A">
        <w:rPr>
          <w:i w:val="0"/>
        </w:rPr>
        <w:t xml:space="preserve"> </w:t>
      </w:r>
      <w:r w:rsidR="00BB77BD" w:rsidRPr="00120C3A">
        <w:rPr>
          <w:i w:val="0"/>
        </w:rPr>
        <w:t xml:space="preserve">(e.g. workshops, seminars, conferences, webinars) </w:t>
      </w:r>
      <w:r w:rsidRPr="00120C3A">
        <w:rPr>
          <w:i w:val="0"/>
        </w:rPr>
        <w:t>continue to be</w:t>
      </w:r>
      <w:r w:rsidR="00BB77BD" w:rsidRPr="00120C3A">
        <w:rPr>
          <w:i w:val="0"/>
        </w:rPr>
        <w:t xml:space="preserve"> the most common form of professional development because </w:t>
      </w:r>
      <w:r w:rsidR="00040101">
        <w:rPr>
          <w:i w:val="0"/>
        </w:rPr>
        <w:t>they are</w:t>
      </w:r>
      <w:r w:rsidR="00BB77BD" w:rsidRPr="00120C3A">
        <w:rPr>
          <w:i w:val="0"/>
        </w:rPr>
        <w:t xml:space="preserve"> “the most efficient and cost-effective professional development model for sharing ideas and information with large groups” (</w:t>
      </w:r>
      <w:r w:rsidRPr="00120C3A">
        <w:rPr>
          <w:i w:val="0"/>
        </w:rPr>
        <w:t xml:space="preserve">Guskey, 2000, </w:t>
      </w:r>
      <w:r w:rsidR="00BB77BD" w:rsidRPr="00120C3A">
        <w:rPr>
          <w:i w:val="0"/>
        </w:rPr>
        <w:t>p. 23). T</w:t>
      </w:r>
      <w:r w:rsidRPr="00120C3A">
        <w:rPr>
          <w:i w:val="0"/>
        </w:rPr>
        <w:t>his</w:t>
      </w:r>
      <w:r w:rsidR="00BB77BD" w:rsidRPr="00120C3A">
        <w:rPr>
          <w:i w:val="0"/>
        </w:rPr>
        <w:t xml:space="preserve"> checklist </w:t>
      </w:r>
      <w:r w:rsidRPr="00120C3A">
        <w:rPr>
          <w:i w:val="0"/>
        </w:rPr>
        <w:t>was originally</w:t>
      </w:r>
      <w:r w:rsidR="00BB77BD" w:rsidRPr="00120C3A">
        <w:rPr>
          <w:i w:val="0"/>
        </w:rPr>
        <w:t xml:space="preserve"> designed to improve and evaluate the quality of </w:t>
      </w:r>
      <w:r w:rsidR="00B1235D">
        <w:rPr>
          <w:i w:val="0"/>
        </w:rPr>
        <w:t xml:space="preserve">single-event </w:t>
      </w:r>
      <w:r w:rsidR="00BB77BD" w:rsidRPr="00120C3A">
        <w:rPr>
          <w:i w:val="0"/>
        </w:rPr>
        <w:t>training</w:t>
      </w:r>
      <w:r w:rsidRPr="00120C3A">
        <w:rPr>
          <w:i w:val="0"/>
        </w:rPr>
        <w:t xml:space="preserve"> but has since been applied to mentoring models, multi-week courses, webinar series, </w:t>
      </w:r>
      <w:r w:rsidR="0086750E">
        <w:rPr>
          <w:i w:val="0"/>
        </w:rPr>
        <w:t xml:space="preserve">book studies, </w:t>
      </w:r>
      <w:r w:rsidRPr="00120C3A">
        <w:rPr>
          <w:i w:val="0"/>
        </w:rPr>
        <w:t>etc</w:t>
      </w:r>
      <w:r w:rsidR="00BB77BD" w:rsidRPr="00120C3A">
        <w:rPr>
          <w:i w:val="0"/>
        </w:rPr>
        <w:t>.</w:t>
      </w:r>
    </w:p>
    <w:p w14:paraId="0D28C619" w14:textId="77777777" w:rsidR="00BB77BD" w:rsidRPr="00120C3A" w:rsidRDefault="00BB77BD" w:rsidP="00BB77BD">
      <w:pPr>
        <w:keepNext/>
        <w:rPr>
          <w:i w:val="0"/>
        </w:rPr>
      </w:pPr>
    </w:p>
    <w:p w14:paraId="70445A1C" w14:textId="77777777" w:rsidR="00BB77BD" w:rsidRPr="00120C3A" w:rsidRDefault="00BB77BD" w:rsidP="002026D5">
      <w:pPr>
        <w:keepNext/>
        <w:rPr>
          <w:b/>
          <w:i w:val="0"/>
        </w:rPr>
      </w:pPr>
      <w:r w:rsidRPr="00120C3A">
        <w:rPr>
          <w:b/>
          <w:i w:val="0"/>
        </w:rPr>
        <w:t>References</w:t>
      </w:r>
    </w:p>
    <w:p w14:paraId="39890457" w14:textId="75FAD387" w:rsidR="00542697" w:rsidRPr="00542697" w:rsidRDefault="00542697" w:rsidP="002026D5">
      <w:pPr>
        <w:spacing w:line="259" w:lineRule="auto"/>
        <w:ind w:left="360" w:hanging="360"/>
        <w:rPr>
          <w:rFonts w:eastAsia="Calibri"/>
          <w:lang w:val="en-US"/>
        </w:rPr>
      </w:pPr>
      <w:r w:rsidRPr="00542697">
        <w:rPr>
          <w:rFonts w:eastAsia="Calibri"/>
          <w:i w:val="0"/>
          <w:lang w:val="en-US"/>
        </w:rPr>
        <w:t xml:space="preserve">Archibald, S., Coggshall, J. G., Croft, A., &amp; Goe, L. (2011). </w:t>
      </w:r>
      <w:r w:rsidRPr="00542697">
        <w:rPr>
          <w:rFonts w:eastAsia="Calibri"/>
          <w:iCs/>
          <w:lang w:val="en-US"/>
        </w:rPr>
        <w:t>High-quality professional development for all teachers: Effectively allocating resources. Research &amp; policy brief</w:t>
      </w:r>
      <w:r w:rsidRPr="00542697">
        <w:rPr>
          <w:rFonts w:eastAsia="Calibri"/>
          <w:i w:val="0"/>
          <w:lang w:val="en-US"/>
        </w:rPr>
        <w:t xml:space="preserve"> (ED520732). ERIC. </w:t>
      </w:r>
      <w:hyperlink r:id="rId9" w:history="1">
        <w:r w:rsidRPr="00542697">
          <w:rPr>
            <w:rStyle w:val="Hyperlink"/>
            <w:rFonts w:eastAsia="Calibri"/>
            <w:i w:val="0"/>
            <w:lang w:val="en-US"/>
          </w:rPr>
          <w:t>https://eric.ed.gov/?id=ED520732</w:t>
        </w:r>
      </w:hyperlink>
      <w:r>
        <w:rPr>
          <w:rFonts w:eastAsia="Calibri"/>
          <w:i w:val="0"/>
          <w:lang w:val="en-US"/>
        </w:rPr>
        <w:t xml:space="preserve"> </w:t>
      </w:r>
    </w:p>
    <w:p w14:paraId="587845AF" w14:textId="7F6A422C" w:rsidR="00542697" w:rsidRPr="00542697" w:rsidRDefault="00542697" w:rsidP="002026D5">
      <w:pPr>
        <w:autoSpaceDE w:val="0"/>
        <w:autoSpaceDN w:val="0"/>
        <w:adjustRightInd w:val="0"/>
        <w:spacing w:line="240" w:lineRule="auto"/>
        <w:ind w:left="360" w:hanging="360"/>
        <w:rPr>
          <w:rFonts w:eastAsia="Calibri"/>
          <w:lang w:val="en-US"/>
        </w:rPr>
      </w:pPr>
      <w:r w:rsidRPr="00542697">
        <w:rPr>
          <w:rFonts w:eastAsia="Calibri"/>
          <w:i w:val="0"/>
          <w:lang w:val="en-US"/>
        </w:rPr>
        <w:t xml:space="preserve">Darling-Hammond, L., Hyler, M. E., </w:t>
      </w:r>
      <w:r w:rsidR="00C06AA8">
        <w:rPr>
          <w:rFonts w:eastAsia="Calibri"/>
          <w:i w:val="0"/>
          <w:lang w:val="en-US"/>
        </w:rPr>
        <w:t xml:space="preserve">&amp; </w:t>
      </w:r>
      <w:r w:rsidRPr="00542697">
        <w:rPr>
          <w:rFonts w:eastAsia="Calibri"/>
          <w:i w:val="0"/>
          <w:lang w:val="en-US"/>
        </w:rPr>
        <w:t xml:space="preserve">Gardner, M. (2017). </w:t>
      </w:r>
      <w:r w:rsidRPr="00542697">
        <w:rPr>
          <w:rFonts w:eastAsia="Calibri"/>
          <w:lang w:val="en-US"/>
        </w:rPr>
        <w:t>Effective teacher professional development</w:t>
      </w:r>
      <w:r w:rsidRPr="00542697">
        <w:rPr>
          <w:rFonts w:eastAsia="Calibri"/>
          <w:i w:val="0"/>
          <w:lang w:val="en-US"/>
        </w:rPr>
        <w:t>. Learning Policy Institute. https://learningpolicyinstitute.org/sites/default/files/product-files/Effective_Teacher_Professional_Development_REPORT.pdf</w:t>
      </w:r>
    </w:p>
    <w:p w14:paraId="191640BD" w14:textId="77777777" w:rsidR="00542697" w:rsidRPr="00542697" w:rsidRDefault="00542697" w:rsidP="002026D5">
      <w:pPr>
        <w:spacing w:line="259" w:lineRule="auto"/>
        <w:ind w:left="360" w:hanging="360"/>
        <w:rPr>
          <w:rFonts w:eastAsia="Calibri"/>
          <w:lang w:val="en-US"/>
        </w:rPr>
      </w:pPr>
      <w:r w:rsidRPr="00542697">
        <w:rPr>
          <w:rFonts w:eastAsia="Calibri"/>
          <w:i w:val="0"/>
          <w:lang w:val="en-US"/>
        </w:rPr>
        <w:t xml:space="preserve">Duda, M. A., Van Dyke, M., Borgmeier, C., Davis, S., &amp; McGlinchey, M. (2011, February).  </w:t>
      </w:r>
      <w:r w:rsidRPr="00542697">
        <w:rPr>
          <w:rFonts w:eastAsia="Calibri"/>
          <w:iCs/>
          <w:lang w:val="en-US"/>
        </w:rPr>
        <w:t>Evidence-based professional development</w:t>
      </w:r>
      <w:r w:rsidRPr="00542697">
        <w:rPr>
          <w:rFonts w:eastAsia="Calibri"/>
          <w:i w:val="0"/>
          <w:lang w:val="en-US"/>
        </w:rPr>
        <w:t xml:space="preserve">  [Keynote]. State Personnel Development Grants Regional Meeting, Washington, D.C. </w:t>
      </w:r>
    </w:p>
    <w:p w14:paraId="05BE574C" w14:textId="77777777" w:rsidR="00542697" w:rsidRPr="00542697" w:rsidRDefault="00542697" w:rsidP="002026D5">
      <w:pPr>
        <w:spacing w:line="259" w:lineRule="auto"/>
        <w:ind w:left="360" w:hanging="360"/>
        <w:rPr>
          <w:rFonts w:eastAsia="Calibri"/>
          <w:lang w:val="en-US"/>
        </w:rPr>
      </w:pPr>
      <w:r w:rsidRPr="00542697">
        <w:rPr>
          <w:rFonts w:eastAsia="Calibri"/>
          <w:i w:val="0"/>
          <w:lang w:val="en-US"/>
        </w:rPr>
        <w:t xml:space="preserve">Dunst, C. J., &amp; Trivette, C. M. (2009). Let’s be PALS: An evidence-based approach to professional development. </w:t>
      </w:r>
      <w:r w:rsidRPr="00542697">
        <w:rPr>
          <w:rFonts w:eastAsia="Calibri"/>
          <w:iCs/>
          <w:lang w:val="en-US"/>
        </w:rPr>
        <w:t>Infants &amp; Young Children, 22</w:t>
      </w:r>
      <w:r w:rsidRPr="00542697">
        <w:rPr>
          <w:rFonts w:eastAsia="Calibri"/>
          <w:i w:val="0"/>
          <w:lang w:val="en-US"/>
        </w:rPr>
        <w:t xml:space="preserve">(3), 164-176. </w:t>
      </w:r>
      <w:hyperlink r:id="rId10" w:history="1">
        <w:r w:rsidRPr="00542697">
          <w:rPr>
            <w:rFonts w:eastAsia="Calibri"/>
            <w:i w:val="0"/>
            <w:color w:val="0563C1"/>
            <w:u w:val="single"/>
            <w:lang w:val="en-US"/>
          </w:rPr>
          <w:t xml:space="preserve">https://doi.org/10.1097/iyc.0b013e3181abe169 </w:t>
        </w:r>
      </w:hyperlink>
    </w:p>
    <w:p w14:paraId="7227C0C5" w14:textId="77777777" w:rsidR="00542697" w:rsidRPr="00542697" w:rsidRDefault="00542697" w:rsidP="002026D5">
      <w:pPr>
        <w:tabs>
          <w:tab w:val="center" w:pos="4680"/>
          <w:tab w:val="right" w:pos="9360"/>
        </w:tabs>
        <w:spacing w:line="240" w:lineRule="auto"/>
        <w:ind w:left="360" w:hanging="360"/>
        <w:rPr>
          <w:rFonts w:eastAsia="Calibri"/>
          <w:i w:val="0"/>
          <w:lang w:val="en-US"/>
        </w:rPr>
      </w:pPr>
      <w:r w:rsidRPr="00542697">
        <w:rPr>
          <w:rFonts w:eastAsia="Calibri"/>
          <w:i w:val="0"/>
          <w:lang w:val="en-US"/>
        </w:rPr>
        <w:t xml:space="preserve">Gaumer Erickson, A. S., Noonan, P. M., Brussow, J., &amp; Supon Carter, K. (2016). Measuring the quality of professional development training. </w:t>
      </w:r>
      <w:r w:rsidRPr="00542697">
        <w:rPr>
          <w:rFonts w:eastAsia="Calibri"/>
          <w:lang w:val="en-US"/>
        </w:rPr>
        <w:t>Professional Development in Education.</w:t>
      </w:r>
      <w:r w:rsidRPr="00542697">
        <w:rPr>
          <w:rFonts w:eastAsia="Calibri"/>
          <w:i w:val="0"/>
          <w:lang w:val="en-US"/>
        </w:rPr>
        <w:t xml:space="preserve"> </w:t>
      </w:r>
      <w:hyperlink r:id="rId11" w:history="1">
        <w:r w:rsidRPr="00542697">
          <w:rPr>
            <w:rFonts w:eastAsia="Calibri"/>
            <w:i w:val="0"/>
            <w:color w:val="0563C1"/>
            <w:u w:val="single"/>
            <w:lang w:val="en-US"/>
          </w:rPr>
          <w:t xml:space="preserve">https://doi.org/10.1080/19415257.2016.1179665 </w:t>
        </w:r>
      </w:hyperlink>
      <w:r w:rsidRPr="00542697">
        <w:rPr>
          <w:rFonts w:eastAsia="Calibri"/>
          <w:i w:val="0"/>
          <w:lang w:val="en-US"/>
        </w:rPr>
        <w:t xml:space="preserve"> </w:t>
      </w:r>
    </w:p>
    <w:p w14:paraId="7A1B2E50" w14:textId="77777777" w:rsidR="00542697" w:rsidRPr="00542697" w:rsidRDefault="00542697" w:rsidP="002026D5">
      <w:pPr>
        <w:spacing w:line="259" w:lineRule="auto"/>
        <w:ind w:left="360" w:hanging="360"/>
        <w:rPr>
          <w:rFonts w:eastAsia="Calibri"/>
          <w:lang w:val="en-US"/>
        </w:rPr>
      </w:pPr>
      <w:r w:rsidRPr="00542697">
        <w:rPr>
          <w:rFonts w:eastAsia="Calibri"/>
          <w:i w:val="0"/>
          <w:lang w:val="en-US"/>
        </w:rPr>
        <w:t xml:space="preserve">Guskey, T. R. (2000). </w:t>
      </w:r>
      <w:r w:rsidRPr="00542697">
        <w:rPr>
          <w:rFonts w:eastAsia="Calibri"/>
          <w:iCs/>
          <w:lang w:val="en-US"/>
        </w:rPr>
        <w:t>Evaluating professional development</w:t>
      </w:r>
      <w:r w:rsidRPr="00542697">
        <w:rPr>
          <w:rFonts w:eastAsia="Calibri"/>
          <w:i w:val="0"/>
          <w:lang w:val="en-US"/>
        </w:rPr>
        <w:t>. Corwin.</w:t>
      </w:r>
    </w:p>
    <w:p w14:paraId="7FCCB0DD" w14:textId="77777777" w:rsidR="00542697" w:rsidRPr="00542697" w:rsidRDefault="00542697" w:rsidP="002026D5">
      <w:pPr>
        <w:spacing w:line="259" w:lineRule="auto"/>
        <w:ind w:left="360" w:hanging="360"/>
        <w:rPr>
          <w:rFonts w:eastAsia="Calibri"/>
          <w:i w:val="0"/>
          <w:lang w:val="en-US"/>
        </w:rPr>
      </w:pPr>
      <w:r w:rsidRPr="00542697">
        <w:rPr>
          <w:rFonts w:eastAsia="Calibri"/>
          <w:i w:val="0"/>
          <w:lang w:val="en-US"/>
        </w:rPr>
        <w:t xml:space="preserve">Guskey, T.R. &amp; Yoon, K. S. (2009). What works in professional development? </w:t>
      </w:r>
      <w:r w:rsidRPr="00542697">
        <w:rPr>
          <w:rFonts w:eastAsia="Calibri"/>
          <w:iCs/>
          <w:lang w:val="en-US"/>
        </w:rPr>
        <w:t>Phi Delta Kappan, 90</w:t>
      </w:r>
      <w:r w:rsidRPr="00542697">
        <w:rPr>
          <w:rFonts w:eastAsia="Calibri"/>
          <w:i w:val="0"/>
          <w:lang w:val="en-US"/>
        </w:rPr>
        <w:t xml:space="preserve">(7), 495-500. </w:t>
      </w:r>
      <w:hyperlink r:id="rId12" w:history="1">
        <w:r w:rsidRPr="00542697">
          <w:rPr>
            <w:rFonts w:eastAsia="Calibri"/>
            <w:i w:val="0"/>
            <w:color w:val="0563C1"/>
            <w:u w:val="single"/>
            <w:shd w:val="clear" w:color="auto" w:fill="FFFFFF"/>
            <w:lang w:val="en-US"/>
          </w:rPr>
          <w:t>https://doi.org/10.1177/003172170909000709</w:t>
        </w:r>
      </w:hyperlink>
    </w:p>
    <w:p w14:paraId="6AAA0D96" w14:textId="77777777" w:rsidR="00542697" w:rsidRPr="00542697" w:rsidRDefault="00542697" w:rsidP="002026D5">
      <w:pPr>
        <w:spacing w:line="259" w:lineRule="auto"/>
        <w:ind w:left="360" w:hanging="360"/>
        <w:rPr>
          <w:rFonts w:eastAsia="Calibri"/>
          <w:lang w:val="en-US"/>
        </w:rPr>
      </w:pPr>
      <w:r w:rsidRPr="00542697">
        <w:rPr>
          <w:rFonts w:eastAsia="Calibri"/>
          <w:i w:val="0"/>
          <w:lang w:val="en-US"/>
        </w:rPr>
        <w:t xml:space="preserve">Hunzicker, J. (2010). </w:t>
      </w:r>
      <w:r w:rsidRPr="00542697">
        <w:rPr>
          <w:rFonts w:eastAsia="Calibri"/>
          <w:iCs/>
          <w:lang w:val="en-US"/>
        </w:rPr>
        <w:t>Characteristics of effective professional development: A checklist</w:t>
      </w:r>
      <w:r w:rsidRPr="00542697">
        <w:rPr>
          <w:rFonts w:eastAsia="Calibri"/>
          <w:i w:val="0"/>
          <w:lang w:val="en-US"/>
        </w:rPr>
        <w:t xml:space="preserve">. (ED510366). ERIC. </w:t>
      </w:r>
      <w:hyperlink r:id="rId13" w:history="1">
        <w:r w:rsidRPr="00542697">
          <w:rPr>
            <w:rFonts w:eastAsia="Calibri"/>
            <w:i w:val="0"/>
            <w:color w:val="0563C1"/>
            <w:u w:val="single"/>
            <w:lang w:val="en-US"/>
          </w:rPr>
          <w:t>https://eric.ed.gov/?id=ED510366</w:t>
        </w:r>
      </w:hyperlink>
      <w:r w:rsidRPr="00542697">
        <w:rPr>
          <w:rFonts w:eastAsia="Calibri"/>
          <w:i w:val="0"/>
          <w:lang w:val="en-US"/>
        </w:rPr>
        <w:t xml:space="preserve"> </w:t>
      </w:r>
    </w:p>
    <w:p w14:paraId="18D824B6" w14:textId="77777777" w:rsidR="00542697" w:rsidRPr="00542697" w:rsidRDefault="00542697" w:rsidP="002026D5">
      <w:pPr>
        <w:spacing w:line="259" w:lineRule="auto"/>
        <w:ind w:left="360" w:hanging="360"/>
        <w:rPr>
          <w:rFonts w:eastAsia="Calibri"/>
          <w:lang w:val="en-US"/>
        </w:rPr>
      </w:pPr>
      <w:r w:rsidRPr="00542697">
        <w:rPr>
          <w:rFonts w:eastAsia="Calibri"/>
          <w:i w:val="0"/>
          <w:lang w:val="en-US"/>
        </w:rPr>
        <w:t xml:space="preserve">Joyce, B., &amp; Showers, B. (2002). </w:t>
      </w:r>
      <w:r w:rsidRPr="00542697">
        <w:rPr>
          <w:rFonts w:eastAsia="Calibri"/>
          <w:iCs/>
          <w:lang w:val="en-US"/>
        </w:rPr>
        <w:t>Student achievement through staff development</w:t>
      </w:r>
      <w:r w:rsidRPr="00542697">
        <w:rPr>
          <w:rFonts w:eastAsia="Calibri"/>
          <w:i w:val="0"/>
          <w:lang w:val="en-US"/>
        </w:rPr>
        <w:t xml:space="preserve"> (3</w:t>
      </w:r>
      <w:r w:rsidRPr="00542697">
        <w:rPr>
          <w:rFonts w:eastAsia="Calibri"/>
          <w:i w:val="0"/>
          <w:vertAlign w:val="superscript"/>
          <w:lang w:val="en-US"/>
        </w:rPr>
        <w:t>rd</w:t>
      </w:r>
      <w:r w:rsidRPr="00542697">
        <w:rPr>
          <w:rFonts w:eastAsia="Calibri"/>
          <w:i w:val="0"/>
          <w:lang w:val="en-US"/>
        </w:rPr>
        <w:t xml:space="preserve"> ed.). Association for Supervision and Curriculum Development.</w:t>
      </w:r>
    </w:p>
    <w:p w14:paraId="37051F34" w14:textId="77777777" w:rsidR="00542697" w:rsidRPr="00542697" w:rsidRDefault="00542697" w:rsidP="002026D5">
      <w:pPr>
        <w:spacing w:line="259" w:lineRule="auto"/>
        <w:ind w:left="360" w:hanging="360"/>
        <w:rPr>
          <w:rFonts w:eastAsia="Calibri"/>
          <w:lang w:val="en-US"/>
        </w:rPr>
      </w:pPr>
      <w:r w:rsidRPr="00542697">
        <w:rPr>
          <w:rFonts w:eastAsia="Calibri"/>
          <w:i w:val="0"/>
          <w:lang w:val="en-US"/>
        </w:rPr>
        <w:t xml:space="preserve">Knowles, M. S. (1980). </w:t>
      </w:r>
      <w:r w:rsidRPr="00542697">
        <w:rPr>
          <w:rFonts w:eastAsia="Calibri"/>
          <w:iCs/>
          <w:lang w:val="en-US"/>
        </w:rPr>
        <w:t>The modern practice of adult education: From pedagogy to andragogy</w:t>
      </w:r>
      <w:r w:rsidRPr="00542697">
        <w:rPr>
          <w:rFonts w:eastAsia="Calibri"/>
          <w:i w:val="0"/>
          <w:lang w:val="en-US"/>
        </w:rPr>
        <w:t>. Cambridge.</w:t>
      </w:r>
    </w:p>
    <w:p w14:paraId="5A8AD37F" w14:textId="77777777" w:rsidR="00542697" w:rsidRPr="00542697" w:rsidRDefault="00542697" w:rsidP="002026D5">
      <w:pPr>
        <w:spacing w:line="259" w:lineRule="auto"/>
        <w:ind w:left="360" w:hanging="360"/>
        <w:rPr>
          <w:rFonts w:eastAsia="Calibri"/>
          <w:lang w:val="en-US"/>
        </w:rPr>
      </w:pPr>
      <w:r w:rsidRPr="00542697">
        <w:rPr>
          <w:rFonts w:eastAsia="Calibri"/>
          <w:i w:val="0"/>
          <w:lang w:val="en-US"/>
        </w:rPr>
        <w:t xml:space="preserve">Knoff, H. M. (2011). </w:t>
      </w:r>
      <w:r w:rsidRPr="00542697">
        <w:rPr>
          <w:rFonts w:eastAsia="Calibri"/>
          <w:iCs/>
          <w:lang w:val="en-US"/>
        </w:rPr>
        <w:t>Arkansas SPDG research-based professional development: Evaluation form</w:t>
      </w:r>
      <w:r w:rsidRPr="00542697">
        <w:rPr>
          <w:rFonts w:eastAsia="Calibri"/>
          <w:i w:val="0"/>
          <w:lang w:val="en-US"/>
        </w:rPr>
        <w:t xml:space="preserve">. [Unpublished instrument]. </w:t>
      </w:r>
    </w:p>
    <w:p w14:paraId="1AE0A587" w14:textId="77777777" w:rsidR="00542697" w:rsidRPr="00542697" w:rsidRDefault="00542697" w:rsidP="002026D5">
      <w:pPr>
        <w:spacing w:line="259" w:lineRule="auto"/>
        <w:ind w:left="360" w:hanging="360"/>
        <w:rPr>
          <w:rFonts w:eastAsia="Calibri"/>
          <w:lang w:val="en-US"/>
        </w:rPr>
      </w:pPr>
      <w:r w:rsidRPr="00542697">
        <w:rPr>
          <w:rFonts w:eastAsia="Calibri"/>
          <w:i w:val="0"/>
          <w:lang w:val="en-US"/>
        </w:rPr>
        <w:t xml:space="preserve"> Kraft, M. A., Blazar, D., &amp; Hogan, D. (2018). The effect of teacher coaching on instruction and achievement: A meta-analysis of the causal evidence. </w:t>
      </w:r>
      <w:r w:rsidRPr="00542697">
        <w:rPr>
          <w:rFonts w:eastAsia="Calibri"/>
          <w:lang w:val="en-US"/>
        </w:rPr>
        <w:t>Review of Educational Research, 88</w:t>
      </w:r>
      <w:r w:rsidRPr="00542697">
        <w:rPr>
          <w:rFonts w:eastAsia="Calibri"/>
          <w:i w:val="0"/>
          <w:lang w:val="en-US"/>
        </w:rPr>
        <w:t xml:space="preserve">(4), 547-588. </w:t>
      </w:r>
      <w:hyperlink r:id="rId14" w:history="1">
        <w:r w:rsidRPr="00542697">
          <w:rPr>
            <w:rFonts w:eastAsia="Calibri"/>
            <w:i w:val="0"/>
            <w:color w:val="0563C1"/>
            <w:u w:val="single"/>
            <w:lang w:val="en-US"/>
          </w:rPr>
          <w:t xml:space="preserve">https://doi.org/10.3102/0034654318759268 </w:t>
        </w:r>
      </w:hyperlink>
    </w:p>
    <w:p w14:paraId="373ADF38" w14:textId="77777777" w:rsidR="00542697" w:rsidRPr="00542697" w:rsidRDefault="00542697" w:rsidP="002026D5">
      <w:pPr>
        <w:spacing w:line="259" w:lineRule="auto"/>
        <w:ind w:left="360" w:hanging="360"/>
        <w:rPr>
          <w:rFonts w:eastAsia="Calibri"/>
          <w:lang w:val="en-US"/>
        </w:rPr>
      </w:pPr>
      <w:r w:rsidRPr="00542697">
        <w:rPr>
          <w:rFonts w:eastAsia="Calibri"/>
          <w:i w:val="0"/>
          <w:lang w:val="en-US"/>
        </w:rPr>
        <w:t xml:space="preserve">Learning Forward. (2020). </w:t>
      </w:r>
      <w:r w:rsidRPr="00542697">
        <w:rPr>
          <w:rFonts w:eastAsia="Calibri"/>
          <w:iCs/>
          <w:lang w:val="en-US"/>
        </w:rPr>
        <w:t>Standards for professional learning</w:t>
      </w:r>
      <w:r w:rsidRPr="00542697">
        <w:rPr>
          <w:rFonts w:eastAsia="Calibri"/>
          <w:i w:val="0"/>
          <w:lang w:val="en-US"/>
        </w:rPr>
        <w:t xml:space="preserve">. </w:t>
      </w:r>
      <w:hyperlink r:id="rId15" w:history="1">
        <w:r w:rsidRPr="00542697">
          <w:rPr>
            <w:rFonts w:eastAsia="Calibri"/>
            <w:i w:val="0"/>
            <w:color w:val="0563C1"/>
            <w:u w:val="single"/>
            <w:lang w:val="en-US"/>
          </w:rPr>
          <w:t>http://learningforward.org/standards-for-professional-learning</w:t>
        </w:r>
      </w:hyperlink>
      <w:r w:rsidRPr="00542697">
        <w:rPr>
          <w:rFonts w:eastAsia="Calibri"/>
          <w:i w:val="0"/>
          <w:lang w:val="en-US"/>
        </w:rPr>
        <w:t xml:space="preserve"> </w:t>
      </w:r>
    </w:p>
    <w:p w14:paraId="68924381" w14:textId="77777777" w:rsidR="00542697" w:rsidRPr="00542697" w:rsidRDefault="00542697" w:rsidP="002026D5">
      <w:pPr>
        <w:spacing w:line="259" w:lineRule="auto"/>
        <w:ind w:left="360" w:hanging="360"/>
        <w:rPr>
          <w:rFonts w:eastAsia="Calibri"/>
          <w:lang w:val="en-US"/>
        </w:rPr>
      </w:pPr>
      <w:r w:rsidRPr="00542697">
        <w:rPr>
          <w:rFonts w:eastAsia="Calibri"/>
          <w:i w:val="0"/>
          <w:lang w:val="en-US"/>
        </w:rPr>
        <w:lastRenderedPageBreak/>
        <w:t xml:space="preserve">Markussen-Brown, J., Juhl, C. B., Piasta, S.B., Bleses, D., Hojen, A., &amp; Justice, L. M. (2017). The effects of language- and literacy-focused professional development on early educators and children: A best-evidence meta-analysis. </w:t>
      </w:r>
      <w:r w:rsidRPr="00542697">
        <w:rPr>
          <w:rFonts w:eastAsia="Calibri"/>
          <w:iCs/>
          <w:lang w:val="en-US"/>
        </w:rPr>
        <w:t>Early Childhood Research Quarterly, 38</w:t>
      </w:r>
      <w:r w:rsidRPr="00542697">
        <w:rPr>
          <w:rFonts w:eastAsia="Calibri"/>
          <w:i w:val="0"/>
          <w:lang w:val="en-US"/>
        </w:rPr>
        <w:t xml:space="preserve">, 97-115. </w:t>
      </w:r>
      <w:hyperlink r:id="rId16" w:tgtFrame="_blank" w:tooltip="Persistent link using digital object identifier" w:history="1">
        <w:r w:rsidRPr="00542697">
          <w:rPr>
            <w:rFonts w:eastAsia="Calibri"/>
            <w:i w:val="0"/>
            <w:color w:val="0563C1"/>
            <w:u w:val="single"/>
            <w:lang w:val="en-US"/>
          </w:rPr>
          <w:t>https://doi.org/10.1016/j.ecresq.2016.07.002</w:t>
        </w:r>
      </w:hyperlink>
    </w:p>
    <w:p w14:paraId="4E3495BD" w14:textId="77777777" w:rsidR="00542697" w:rsidRPr="00542697" w:rsidRDefault="00542697" w:rsidP="002026D5">
      <w:pPr>
        <w:spacing w:line="259" w:lineRule="auto"/>
        <w:ind w:left="360" w:hanging="360"/>
        <w:rPr>
          <w:rFonts w:eastAsia="Calibri"/>
          <w:lang w:val="en-US"/>
        </w:rPr>
      </w:pPr>
      <w:r w:rsidRPr="00542697">
        <w:rPr>
          <w:rFonts w:eastAsia="Calibri"/>
          <w:i w:val="0"/>
          <w:lang w:val="en-US"/>
        </w:rPr>
        <w:t>National Research Council. (1999). </w:t>
      </w:r>
      <w:r w:rsidRPr="00542697">
        <w:rPr>
          <w:rFonts w:eastAsia="Calibri"/>
          <w:lang w:val="en-US"/>
        </w:rPr>
        <w:t>How people learn: Bridging research and practice</w:t>
      </w:r>
      <w:r w:rsidRPr="00542697">
        <w:rPr>
          <w:rFonts w:eastAsia="Calibri"/>
          <w:i w:val="0"/>
          <w:lang w:val="en-US"/>
        </w:rPr>
        <w:t>. The National Academies Press.</w:t>
      </w:r>
    </w:p>
    <w:p w14:paraId="52614063" w14:textId="77777777" w:rsidR="00542697" w:rsidRPr="00542697" w:rsidRDefault="00542697" w:rsidP="002026D5">
      <w:pPr>
        <w:spacing w:line="259" w:lineRule="auto"/>
        <w:ind w:left="360" w:hanging="360"/>
        <w:rPr>
          <w:rFonts w:eastAsia="Calibri"/>
          <w:lang w:val="en-US"/>
        </w:rPr>
      </w:pPr>
      <w:r w:rsidRPr="00542697">
        <w:rPr>
          <w:rFonts w:eastAsia="Calibri"/>
          <w:i w:val="0"/>
          <w:lang w:val="en-US"/>
        </w:rPr>
        <w:t xml:space="preserve">Noonan, P. M., Gaumer Erickson, A. S., Brussow, J., &amp; Langham, A. (2015). </w:t>
      </w:r>
      <w:r w:rsidRPr="00542697">
        <w:rPr>
          <w:rFonts w:eastAsia="Calibri"/>
          <w:iCs/>
          <w:lang w:val="en-US"/>
        </w:rPr>
        <w:t>Observation checklist for high-quality professional development in education</w:t>
      </w:r>
      <w:r w:rsidRPr="00542697">
        <w:rPr>
          <w:rFonts w:eastAsia="Calibri"/>
          <w:i w:val="0"/>
          <w:lang w:val="en-US"/>
        </w:rPr>
        <w:t xml:space="preserve"> </w:t>
      </w:r>
      <w:r w:rsidRPr="00542697">
        <w:rPr>
          <w:rFonts w:eastAsia="Calibri"/>
          <w:iCs/>
          <w:lang w:val="en-US"/>
        </w:rPr>
        <w:t>[2</w:t>
      </w:r>
      <w:r w:rsidRPr="00542697">
        <w:rPr>
          <w:rFonts w:eastAsia="Calibri"/>
          <w:iCs/>
          <w:vertAlign w:val="superscript"/>
          <w:lang w:val="en-US"/>
        </w:rPr>
        <w:t>nd</w:t>
      </w:r>
      <w:r w:rsidRPr="00542697">
        <w:rPr>
          <w:rFonts w:eastAsia="Calibri"/>
          <w:iCs/>
          <w:lang w:val="en-US"/>
        </w:rPr>
        <w:t xml:space="preserve"> ed.]</w:t>
      </w:r>
      <w:r w:rsidRPr="00542697">
        <w:rPr>
          <w:rFonts w:eastAsia="Calibri"/>
          <w:i w:val="0"/>
          <w:lang w:val="en-US"/>
        </w:rPr>
        <w:t xml:space="preserve">. Center for Research on Learning, University of Kansas. </w:t>
      </w:r>
      <w:hyperlink r:id="rId17" w:history="1">
        <w:r w:rsidRPr="00542697">
          <w:rPr>
            <w:rFonts w:eastAsia="Calibri"/>
            <w:i w:val="0"/>
            <w:color w:val="0563C1"/>
            <w:u w:val="single"/>
            <w:lang w:val="en-US"/>
          </w:rPr>
          <w:t>http://www.researchcollaboration.org/page/high-quality-professional-development-checklist</w:t>
        </w:r>
      </w:hyperlink>
      <w:r w:rsidRPr="00542697">
        <w:rPr>
          <w:rFonts w:eastAsia="Calibri"/>
          <w:i w:val="0"/>
          <w:lang w:val="en-US"/>
        </w:rPr>
        <w:t xml:space="preserve"> </w:t>
      </w:r>
    </w:p>
    <w:p w14:paraId="77EFEFCD" w14:textId="77777777" w:rsidR="00542697" w:rsidRPr="00542697" w:rsidRDefault="00542697" w:rsidP="002026D5">
      <w:pPr>
        <w:spacing w:line="259" w:lineRule="auto"/>
        <w:ind w:left="360" w:hanging="360"/>
        <w:rPr>
          <w:rFonts w:eastAsia="Calibri"/>
          <w:lang w:val="en-US"/>
        </w:rPr>
      </w:pPr>
      <w:r w:rsidRPr="00542697">
        <w:rPr>
          <w:rFonts w:eastAsia="Calibri"/>
          <w:i w:val="0"/>
          <w:lang w:val="en-US"/>
        </w:rPr>
        <w:t>Trivette, C. M., Dunst, C. J., Hamby, D. W., &amp; O’Herin, C. E. (2009). </w:t>
      </w:r>
      <w:hyperlink r:id="rId18" w:history="1">
        <w:r w:rsidRPr="00542697">
          <w:rPr>
            <w:rFonts w:eastAsia="Calibri"/>
            <w:iCs/>
            <w:lang w:val="en-US"/>
          </w:rPr>
          <w:t>Characteristics and consequences of adult learning methods and strategies</w:t>
        </w:r>
      </w:hyperlink>
      <w:r w:rsidRPr="00542697">
        <w:rPr>
          <w:rFonts w:eastAsia="Calibri"/>
          <w:iCs/>
          <w:lang w:val="en-US"/>
        </w:rPr>
        <w:t>. Practical evaluation reports, volume 2, number 1</w:t>
      </w:r>
      <w:r w:rsidRPr="00542697">
        <w:rPr>
          <w:rFonts w:eastAsia="Calibri"/>
          <w:i w:val="0"/>
          <w:lang w:val="en-US"/>
        </w:rPr>
        <w:t xml:space="preserve"> (ED565253). ERIC. </w:t>
      </w:r>
      <w:hyperlink r:id="rId19" w:history="1">
        <w:r w:rsidRPr="00542697">
          <w:rPr>
            <w:rFonts w:eastAsia="Calibri"/>
            <w:i w:val="0"/>
            <w:color w:val="0563C1"/>
            <w:u w:val="single"/>
            <w:lang w:val="en-US"/>
          </w:rPr>
          <w:t>https://eric.ed.gov/?id=ED565253</w:t>
        </w:r>
      </w:hyperlink>
      <w:r w:rsidRPr="00542697">
        <w:rPr>
          <w:rFonts w:eastAsia="Calibri"/>
          <w:i w:val="0"/>
          <w:lang w:val="en-US"/>
        </w:rPr>
        <w:t xml:space="preserve"> </w:t>
      </w:r>
    </w:p>
    <w:p w14:paraId="6A10B480" w14:textId="4ACF8382" w:rsidR="00F915E0" w:rsidRPr="00D74F54" w:rsidRDefault="00542697" w:rsidP="002026D5">
      <w:pPr>
        <w:ind w:left="180" w:hanging="180"/>
        <w:rPr>
          <w:i w:val="0"/>
        </w:rPr>
      </w:pPr>
      <w:r w:rsidRPr="00542697">
        <w:rPr>
          <w:rFonts w:eastAsia="Calibri"/>
          <w:i w:val="0"/>
          <w:lang w:val="en-US"/>
        </w:rPr>
        <w:t xml:space="preserve">Wei, R. C., Darling-Hammond, L., &amp; Adamson, F. (2010). </w:t>
      </w:r>
      <w:r w:rsidRPr="00542697">
        <w:rPr>
          <w:rFonts w:eastAsia="Calibri"/>
          <w:iCs/>
          <w:lang w:val="en-US"/>
        </w:rPr>
        <w:t>Professional development in the United States: Trends and challenges</w:t>
      </w:r>
      <w:r w:rsidRPr="00542697">
        <w:rPr>
          <w:rFonts w:eastAsia="Calibri"/>
          <w:i w:val="0"/>
          <w:lang w:val="en-US"/>
        </w:rPr>
        <w:t xml:space="preserve"> (ED536360). ERIC. </w:t>
      </w:r>
      <w:hyperlink r:id="rId20" w:history="1">
        <w:r w:rsidRPr="00542697">
          <w:rPr>
            <w:rFonts w:eastAsia="Calibri"/>
            <w:i w:val="0"/>
            <w:color w:val="0563C1"/>
            <w:u w:val="single"/>
            <w:lang w:val="en-US"/>
          </w:rPr>
          <w:t>https://eric.ed.gov/?id=ED536360</w:t>
        </w:r>
      </w:hyperlink>
    </w:p>
    <w:p w14:paraId="1960A536" w14:textId="77777777" w:rsidR="00542697" w:rsidRDefault="00542697" w:rsidP="0042795F">
      <w:pPr>
        <w:pStyle w:val="PlainText"/>
        <w:rPr>
          <w:rFonts w:ascii="Arial" w:hAnsi="Arial" w:cs="Arial"/>
          <w:sz w:val="16"/>
          <w:szCs w:val="16"/>
        </w:rPr>
      </w:pPr>
    </w:p>
    <w:p w14:paraId="0EF8ACA7" w14:textId="598689C8" w:rsidR="00F57BED" w:rsidRPr="00120C3A" w:rsidRDefault="00BB77BD" w:rsidP="0042795F">
      <w:pPr>
        <w:pStyle w:val="PlainText"/>
        <w:rPr>
          <w:i/>
        </w:rPr>
      </w:pPr>
      <w:r w:rsidRPr="0042795F">
        <w:rPr>
          <w:rFonts w:ascii="Arial" w:hAnsi="Arial" w:cs="Arial"/>
          <w:sz w:val="16"/>
          <w:szCs w:val="16"/>
        </w:rPr>
        <w:t>This eval</w:t>
      </w:r>
      <w:r w:rsidR="00893529" w:rsidRPr="0042795F">
        <w:rPr>
          <w:rFonts w:ascii="Arial" w:hAnsi="Arial" w:cs="Arial"/>
          <w:sz w:val="16"/>
          <w:szCs w:val="16"/>
        </w:rPr>
        <w:t xml:space="preserve">uation instrument was developed and revised </w:t>
      </w:r>
      <w:r w:rsidRPr="0042795F">
        <w:rPr>
          <w:rFonts w:ascii="Arial" w:hAnsi="Arial" w:cs="Arial"/>
          <w:sz w:val="16"/>
          <w:szCs w:val="16"/>
        </w:rPr>
        <w:t>under grant</w:t>
      </w:r>
      <w:r w:rsidR="00893529" w:rsidRPr="0042795F">
        <w:rPr>
          <w:rFonts w:ascii="Arial" w:hAnsi="Arial" w:cs="Arial"/>
          <w:sz w:val="16"/>
          <w:szCs w:val="16"/>
        </w:rPr>
        <w:t>s</w:t>
      </w:r>
      <w:r w:rsidRPr="0042795F">
        <w:rPr>
          <w:rFonts w:ascii="Arial" w:hAnsi="Arial" w:cs="Arial"/>
          <w:sz w:val="16"/>
          <w:szCs w:val="16"/>
        </w:rPr>
        <w:t xml:space="preserve"> from the US Department of Education, #H323A120018</w:t>
      </w:r>
      <w:r w:rsidR="00893529" w:rsidRPr="0042795F">
        <w:rPr>
          <w:rFonts w:ascii="Arial" w:hAnsi="Arial" w:cs="Arial"/>
          <w:sz w:val="16"/>
          <w:szCs w:val="16"/>
        </w:rPr>
        <w:t xml:space="preserve">, </w:t>
      </w:r>
      <w:r w:rsidR="00786B70" w:rsidRPr="0042795F">
        <w:rPr>
          <w:rFonts w:ascii="Arial" w:hAnsi="Arial" w:cs="Arial"/>
          <w:sz w:val="16"/>
          <w:szCs w:val="16"/>
        </w:rPr>
        <w:t xml:space="preserve">#H323A120021, </w:t>
      </w:r>
      <w:r w:rsidR="00893529" w:rsidRPr="0042795F">
        <w:rPr>
          <w:rFonts w:ascii="Arial" w:hAnsi="Arial" w:cs="Arial"/>
          <w:sz w:val="16"/>
          <w:szCs w:val="16"/>
        </w:rPr>
        <w:t>#</w:t>
      </w:r>
      <w:r w:rsidR="00893529" w:rsidRPr="0042795F">
        <w:rPr>
          <w:rFonts w:ascii="Arial" w:hAnsi="Arial" w:cs="Arial"/>
          <w:bCs/>
          <w:snapToGrid w:val="0"/>
          <w:sz w:val="16"/>
          <w:szCs w:val="16"/>
        </w:rPr>
        <w:t>H323A170006</w:t>
      </w:r>
      <w:r w:rsidRPr="0042795F">
        <w:rPr>
          <w:rFonts w:ascii="Arial" w:hAnsi="Arial" w:cs="Arial"/>
          <w:sz w:val="16"/>
          <w:szCs w:val="16"/>
        </w:rPr>
        <w:t xml:space="preserve">. However, </w:t>
      </w:r>
      <w:r w:rsidR="00EF592C" w:rsidRPr="0042795F">
        <w:rPr>
          <w:rFonts w:ascii="Arial" w:hAnsi="Arial" w:cs="Arial"/>
          <w:sz w:val="16"/>
          <w:szCs w:val="16"/>
        </w:rPr>
        <w:t xml:space="preserve">the </w:t>
      </w:r>
      <w:r w:rsidRPr="0042795F">
        <w:rPr>
          <w:rFonts w:ascii="Arial" w:hAnsi="Arial" w:cs="Arial"/>
          <w:sz w:val="16"/>
          <w:szCs w:val="16"/>
        </w:rPr>
        <w:t>contents do not necessarily represent the policy of the US Department of Education, and you should not assume endorsement by the Office of Special Education Programs.</w:t>
      </w:r>
    </w:p>
    <w:sectPr w:rsidR="00F57BED" w:rsidRPr="00120C3A" w:rsidSect="00CB589F">
      <w:pgSz w:w="12240" w:h="15840"/>
      <w:pgMar w:top="720" w:right="720" w:bottom="720" w:left="720" w:header="720" w:footer="72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0CFAE" w14:textId="77777777" w:rsidR="00C52BCA" w:rsidRDefault="00C52BCA" w:rsidP="00C00A4B">
      <w:pPr>
        <w:spacing w:line="240" w:lineRule="auto"/>
      </w:pPr>
      <w:r>
        <w:separator/>
      </w:r>
    </w:p>
  </w:endnote>
  <w:endnote w:type="continuationSeparator" w:id="0">
    <w:p w14:paraId="52626495" w14:textId="77777777" w:rsidR="00C52BCA" w:rsidRDefault="00C52BCA" w:rsidP="00C00A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D0138" w14:textId="77777777" w:rsidR="00C52BCA" w:rsidRDefault="00C52BCA" w:rsidP="00C00A4B">
      <w:pPr>
        <w:spacing w:line="240" w:lineRule="auto"/>
      </w:pPr>
      <w:r>
        <w:separator/>
      </w:r>
    </w:p>
  </w:footnote>
  <w:footnote w:type="continuationSeparator" w:id="0">
    <w:p w14:paraId="0ECF1C1E" w14:textId="77777777" w:rsidR="00C52BCA" w:rsidRDefault="00C52BCA" w:rsidP="00C00A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14291"/>
    <w:multiLevelType w:val="hybridMultilevel"/>
    <w:tmpl w:val="0CD0DD1C"/>
    <w:lvl w:ilvl="0" w:tplc="B02AB464">
      <w:start w:val="78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D0367"/>
    <w:multiLevelType w:val="hybridMultilevel"/>
    <w:tmpl w:val="FD6A8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4"/>
  <w:hideSpellingErrors/>
  <w:hideGrammaticalErrors/>
  <w:activeWritingStyle w:appName="MSWord" w:lang="en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BED"/>
    <w:rsid w:val="0001155D"/>
    <w:rsid w:val="0001320E"/>
    <w:rsid w:val="000174EA"/>
    <w:rsid w:val="0002372F"/>
    <w:rsid w:val="00024023"/>
    <w:rsid w:val="0002543A"/>
    <w:rsid w:val="00027B01"/>
    <w:rsid w:val="00032802"/>
    <w:rsid w:val="00032E53"/>
    <w:rsid w:val="00040101"/>
    <w:rsid w:val="00052C8F"/>
    <w:rsid w:val="00063346"/>
    <w:rsid w:val="000A7014"/>
    <w:rsid w:val="000B7044"/>
    <w:rsid w:val="000D5145"/>
    <w:rsid w:val="000E2E69"/>
    <w:rsid w:val="000E42FE"/>
    <w:rsid w:val="000E56F3"/>
    <w:rsid w:val="000F251B"/>
    <w:rsid w:val="000F3829"/>
    <w:rsid w:val="000F3D3A"/>
    <w:rsid w:val="000F716B"/>
    <w:rsid w:val="001152E0"/>
    <w:rsid w:val="00120C3A"/>
    <w:rsid w:val="001303FC"/>
    <w:rsid w:val="001418D8"/>
    <w:rsid w:val="00146A75"/>
    <w:rsid w:val="0015064B"/>
    <w:rsid w:val="00152ACC"/>
    <w:rsid w:val="0016359E"/>
    <w:rsid w:val="00164F10"/>
    <w:rsid w:val="00165514"/>
    <w:rsid w:val="00175B65"/>
    <w:rsid w:val="001778D0"/>
    <w:rsid w:val="00177A9D"/>
    <w:rsid w:val="00187390"/>
    <w:rsid w:val="0019700D"/>
    <w:rsid w:val="001A6EC8"/>
    <w:rsid w:val="001B2E55"/>
    <w:rsid w:val="001B57FE"/>
    <w:rsid w:val="001C055E"/>
    <w:rsid w:val="001C4927"/>
    <w:rsid w:val="001C6156"/>
    <w:rsid w:val="001D5233"/>
    <w:rsid w:val="001E5072"/>
    <w:rsid w:val="001F2DEF"/>
    <w:rsid w:val="002026D5"/>
    <w:rsid w:val="0021084B"/>
    <w:rsid w:val="0022268B"/>
    <w:rsid w:val="00227ED8"/>
    <w:rsid w:val="0023384B"/>
    <w:rsid w:val="002627C3"/>
    <w:rsid w:val="00263EF0"/>
    <w:rsid w:val="00267FD5"/>
    <w:rsid w:val="002A15AD"/>
    <w:rsid w:val="002A69F3"/>
    <w:rsid w:val="002C0766"/>
    <w:rsid w:val="002C5418"/>
    <w:rsid w:val="002D731B"/>
    <w:rsid w:val="002E25E1"/>
    <w:rsid w:val="002E35FE"/>
    <w:rsid w:val="002E694A"/>
    <w:rsid w:val="003008F7"/>
    <w:rsid w:val="00313C52"/>
    <w:rsid w:val="0031592A"/>
    <w:rsid w:val="0032078C"/>
    <w:rsid w:val="003210DC"/>
    <w:rsid w:val="00321B2A"/>
    <w:rsid w:val="0033369A"/>
    <w:rsid w:val="00360079"/>
    <w:rsid w:val="00363594"/>
    <w:rsid w:val="00373F2C"/>
    <w:rsid w:val="0038528B"/>
    <w:rsid w:val="003A3556"/>
    <w:rsid w:val="003C41D1"/>
    <w:rsid w:val="003D06E7"/>
    <w:rsid w:val="003D0F16"/>
    <w:rsid w:val="003E5BE1"/>
    <w:rsid w:val="003F1A3B"/>
    <w:rsid w:val="003F46F3"/>
    <w:rsid w:val="00414B86"/>
    <w:rsid w:val="0042795F"/>
    <w:rsid w:val="00431648"/>
    <w:rsid w:val="00442C11"/>
    <w:rsid w:val="00451184"/>
    <w:rsid w:val="004752C4"/>
    <w:rsid w:val="0048426A"/>
    <w:rsid w:val="004902FD"/>
    <w:rsid w:val="004920CB"/>
    <w:rsid w:val="004A34C1"/>
    <w:rsid w:val="004C3E30"/>
    <w:rsid w:val="004C5E59"/>
    <w:rsid w:val="004C5E8B"/>
    <w:rsid w:val="004D11EC"/>
    <w:rsid w:val="004E0A12"/>
    <w:rsid w:val="004E4210"/>
    <w:rsid w:val="004E54AC"/>
    <w:rsid w:val="004F2E43"/>
    <w:rsid w:val="00502904"/>
    <w:rsid w:val="00523018"/>
    <w:rsid w:val="005233C0"/>
    <w:rsid w:val="00527762"/>
    <w:rsid w:val="005304A3"/>
    <w:rsid w:val="0053607E"/>
    <w:rsid w:val="00542697"/>
    <w:rsid w:val="00566987"/>
    <w:rsid w:val="00567763"/>
    <w:rsid w:val="00571427"/>
    <w:rsid w:val="00577AFE"/>
    <w:rsid w:val="005826A1"/>
    <w:rsid w:val="00590922"/>
    <w:rsid w:val="00593396"/>
    <w:rsid w:val="005A42AF"/>
    <w:rsid w:val="005A7CA6"/>
    <w:rsid w:val="005B266B"/>
    <w:rsid w:val="005C2594"/>
    <w:rsid w:val="005C7936"/>
    <w:rsid w:val="005D1F8F"/>
    <w:rsid w:val="005D2994"/>
    <w:rsid w:val="005F2AC8"/>
    <w:rsid w:val="00605BDD"/>
    <w:rsid w:val="006068D3"/>
    <w:rsid w:val="00610646"/>
    <w:rsid w:val="00612650"/>
    <w:rsid w:val="0062052D"/>
    <w:rsid w:val="00631141"/>
    <w:rsid w:val="006464F1"/>
    <w:rsid w:val="0065363F"/>
    <w:rsid w:val="00656DFE"/>
    <w:rsid w:val="00660CB3"/>
    <w:rsid w:val="00663794"/>
    <w:rsid w:val="00674BA6"/>
    <w:rsid w:val="00686497"/>
    <w:rsid w:val="00686AEA"/>
    <w:rsid w:val="006A6A3F"/>
    <w:rsid w:val="006A7D18"/>
    <w:rsid w:val="006A7FB5"/>
    <w:rsid w:val="006C316A"/>
    <w:rsid w:val="006C3584"/>
    <w:rsid w:val="006C60D1"/>
    <w:rsid w:val="006D0DD9"/>
    <w:rsid w:val="006E25A5"/>
    <w:rsid w:val="006F005A"/>
    <w:rsid w:val="006F2341"/>
    <w:rsid w:val="006F2794"/>
    <w:rsid w:val="006F60B1"/>
    <w:rsid w:val="00712DAA"/>
    <w:rsid w:val="007144D8"/>
    <w:rsid w:val="00730336"/>
    <w:rsid w:val="00737D6D"/>
    <w:rsid w:val="00750963"/>
    <w:rsid w:val="00751007"/>
    <w:rsid w:val="007535BB"/>
    <w:rsid w:val="007827FA"/>
    <w:rsid w:val="00786B70"/>
    <w:rsid w:val="00797E3C"/>
    <w:rsid w:val="007B3707"/>
    <w:rsid w:val="007B4467"/>
    <w:rsid w:val="007C25EA"/>
    <w:rsid w:val="007C2862"/>
    <w:rsid w:val="007C626A"/>
    <w:rsid w:val="00803D34"/>
    <w:rsid w:val="0080533D"/>
    <w:rsid w:val="00805A30"/>
    <w:rsid w:val="00813253"/>
    <w:rsid w:val="00825C7D"/>
    <w:rsid w:val="00835682"/>
    <w:rsid w:val="00836164"/>
    <w:rsid w:val="00836D6D"/>
    <w:rsid w:val="00846844"/>
    <w:rsid w:val="0086750E"/>
    <w:rsid w:val="00893529"/>
    <w:rsid w:val="008B2CDD"/>
    <w:rsid w:val="008D2EB3"/>
    <w:rsid w:val="008F1847"/>
    <w:rsid w:val="008F6795"/>
    <w:rsid w:val="00901371"/>
    <w:rsid w:val="00906264"/>
    <w:rsid w:val="00907482"/>
    <w:rsid w:val="00917A1E"/>
    <w:rsid w:val="00925BB3"/>
    <w:rsid w:val="009310B5"/>
    <w:rsid w:val="00936C32"/>
    <w:rsid w:val="0094037C"/>
    <w:rsid w:val="00941961"/>
    <w:rsid w:val="00942C79"/>
    <w:rsid w:val="009503FB"/>
    <w:rsid w:val="00950DDC"/>
    <w:rsid w:val="00957E7A"/>
    <w:rsid w:val="00960730"/>
    <w:rsid w:val="00964A3E"/>
    <w:rsid w:val="00965ECC"/>
    <w:rsid w:val="00966280"/>
    <w:rsid w:val="00971BCA"/>
    <w:rsid w:val="009749C8"/>
    <w:rsid w:val="009834C9"/>
    <w:rsid w:val="00991284"/>
    <w:rsid w:val="009961D4"/>
    <w:rsid w:val="009A6292"/>
    <w:rsid w:val="009A63C4"/>
    <w:rsid w:val="009B480F"/>
    <w:rsid w:val="009C5CE5"/>
    <w:rsid w:val="009D16A0"/>
    <w:rsid w:val="009D46C0"/>
    <w:rsid w:val="009E52B4"/>
    <w:rsid w:val="009F116D"/>
    <w:rsid w:val="009F41E6"/>
    <w:rsid w:val="009F429F"/>
    <w:rsid w:val="009F50D5"/>
    <w:rsid w:val="00A00671"/>
    <w:rsid w:val="00A128B8"/>
    <w:rsid w:val="00A259C0"/>
    <w:rsid w:val="00A42A6F"/>
    <w:rsid w:val="00A476F1"/>
    <w:rsid w:val="00A56080"/>
    <w:rsid w:val="00A66E59"/>
    <w:rsid w:val="00A7492D"/>
    <w:rsid w:val="00A84CD4"/>
    <w:rsid w:val="00A87594"/>
    <w:rsid w:val="00AA48D9"/>
    <w:rsid w:val="00AB2292"/>
    <w:rsid w:val="00AB38F8"/>
    <w:rsid w:val="00AB3FEF"/>
    <w:rsid w:val="00AB4450"/>
    <w:rsid w:val="00AB492A"/>
    <w:rsid w:val="00AB68DE"/>
    <w:rsid w:val="00AB7BC0"/>
    <w:rsid w:val="00AC21BE"/>
    <w:rsid w:val="00AC687F"/>
    <w:rsid w:val="00AC7A9D"/>
    <w:rsid w:val="00AD64EA"/>
    <w:rsid w:val="00AE4EBF"/>
    <w:rsid w:val="00B1235D"/>
    <w:rsid w:val="00B15AEC"/>
    <w:rsid w:val="00B2323E"/>
    <w:rsid w:val="00B31314"/>
    <w:rsid w:val="00B45D8A"/>
    <w:rsid w:val="00B47EAC"/>
    <w:rsid w:val="00B50B5A"/>
    <w:rsid w:val="00B55E73"/>
    <w:rsid w:val="00B62A5E"/>
    <w:rsid w:val="00B74742"/>
    <w:rsid w:val="00B801A7"/>
    <w:rsid w:val="00B846BA"/>
    <w:rsid w:val="00BA0F94"/>
    <w:rsid w:val="00BB77BD"/>
    <w:rsid w:val="00BC09D2"/>
    <w:rsid w:val="00BF1D0E"/>
    <w:rsid w:val="00C00A4B"/>
    <w:rsid w:val="00C06AA8"/>
    <w:rsid w:val="00C070B4"/>
    <w:rsid w:val="00C16C7E"/>
    <w:rsid w:val="00C2468A"/>
    <w:rsid w:val="00C3287F"/>
    <w:rsid w:val="00C3462F"/>
    <w:rsid w:val="00C52BCA"/>
    <w:rsid w:val="00C64774"/>
    <w:rsid w:val="00C75535"/>
    <w:rsid w:val="00C83213"/>
    <w:rsid w:val="00C92250"/>
    <w:rsid w:val="00C96958"/>
    <w:rsid w:val="00CB589F"/>
    <w:rsid w:val="00CB66A8"/>
    <w:rsid w:val="00CF07C9"/>
    <w:rsid w:val="00CF19D8"/>
    <w:rsid w:val="00D075E2"/>
    <w:rsid w:val="00D07868"/>
    <w:rsid w:val="00D16702"/>
    <w:rsid w:val="00D23AA4"/>
    <w:rsid w:val="00D25CA5"/>
    <w:rsid w:val="00D3170F"/>
    <w:rsid w:val="00D42B70"/>
    <w:rsid w:val="00D47A41"/>
    <w:rsid w:val="00D67FF1"/>
    <w:rsid w:val="00D73AAE"/>
    <w:rsid w:val="00D74F54"/>
    <w:rsid w:val="00D76284"/>
    <w:rsid w:val="00DA0CFE"/>
    <w:rsid w:val="00DA2D14"/>
    <w:rsid w:val="00DA32EB"/>
    <w:rsid w:val="00DB3A60"/>
    <w:rsid w:val="00DC50C9"/>
    <w:rsid w:val="00DD555F"/>
    <w:rsid w:val="00DE5351"/>
    <w:rsid w:val="00DF5A74"/>
    <w:rsid w:val="00E02637"/>
    <w:rsid w:val="00E11ADC"/>
    <w:rsid w:val="00E20441"/>
    <w:rsid w:val="00E32953"/>
    <w:rsid w:val="00E45D35"/>
    <w:rsid w:val="00E50DEF"/>
    <w:rsid w:val="00E611D2"/>
    <w:rsid w:val="00E87216"/>
    <w:rsid w:val="00E8746F"/>
    <w:rsid w:val="00E916BA"/>
    <w:rsid w:val="00EA14B4"/>
    <w:rsid w:val="00EA6B3B"/>
    <w:rsid w:val="00EB16F7"/>
    <w:rsid w:val="00EC0906"/>
    <w:rsid w:val="00EF487A"/>
    <w:rsid w:val="00EF592C"/>
    <w:rsid w:val="00F0168F"/>
    <w:rsid w:val="00F15DB9"/>
    <w:rsid w:val="00F160A3"/>
    <w:rsid w:val="00F24CD6"/>
    <w:rsid w:val="00F262EB"/>
    <w:rsid w:val="00F40FC5"/>
    <w:rsid w:val="00F57BED"/>
    <w:rsid w:val="00F70A97"/>
    <w:rsid w:val="00F801E9"/>
    <w:rsid w:val="00F8062E"/>
    <w:rsid w:val="00F915E0"/>
    <w:rsid w:val="00F9798C"/>
    <w:rsid w:val="00FB0B7A"/>
    <w:rsid w:val="00FB0F0A"/>
    <w:rsid w:val="00FC7D2A"/>
    <w:rsid w:val="00FD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94440"/>
  <w15:docId w15:val="{11D604D5-66F1-49C3-9A3A-A32BC2CB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i/>
        <w:sz w:val="18"/>
        <w:szCs w:val="18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2E694A"/>
    <w:pPr>
      <w:spacing w:before="60" w:after="80"/>
      <w:jc w:val="center"/>
      <w:outlineLvl w:val="1"/>
    </w:pPr>
    <w:rPr>
      <w:b/>
      <w:color w:val="FFFFFF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i w:val="0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B70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B70"/>
    <w:rPr>
      <w:rFonts w:ascii="Segoe UI" w:hAnsi="Segoe UI" w:cs="Segoe U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0C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3EF0"/>
    <w:pPr>
      <w:ind w:left="720"/>
      <w:contextualSpacing/>
    </w:pPr>
  </w:style>
  <w:style w:type="paragraph" w:customStyle="1" w:styleId="Exampleslist">
    <w:name w:val="Examples list"/>
    <w:basedOn w:val="Normal"/>
    <w:qFormat/>
    <w:rsid w:val="00052C8F"/>
    <w:pPr>
      <w:spacing w:line="240" w:lineRule="auto"/>
      <w:ind w:left="334" w:hanging="180"/>
    </w:pPr>
  </w:style>
  <w:style w:type="paragraph" w:styleId="Footer">
    <w:name w:val="footer"/>
    <w:basedOn w:val="Normal"/>
    <w:link w:val="FooterChar"/>
    <w:uiPriority w:val="99"/>
    <w:unhideWhenUsed/>
    <w:rsid w:val="00BB77BD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i w:val="0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B77BD"/>
    <w:rPr>
      <w:rFonts w:asciiTheme="minorHAnsi" w:eastAsiaTheme="minorHAnsi" w:hAnsiTheme="minorHAnsi" w:cstheme="minorBidi"/>
      <w:i w:val="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BB77B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B77BD"/>
    <w:pPr>
      <w:spacing w:line="240" w:lineRule="auto"/>
    </w:pPr>
    <w:rPr>
      <w:rFonts w:ascii="Calibri" w:eastAsiaTheme="minorHAnsi" w:hAnsi="Calibri" w:cstheme="minorBidi"/>
      <w:i w:val="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B77BD"/>
    <w:rPr>
      <w:rFonts w:ascii="Calibri" w:eastAsiaTheme="minorHAnsi" w:hAnsi="Calibri" w:cstheme="minorBidi"/>
      <w:i w:val="0"/>
      <w:sz w:val="22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0533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0A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A4B"/>
  </w:style>
  <w:style w:type="paragraph" w:customStyle="1" w:styleId="Default">
    <w:name w:val="Default"/>
    <w:rsid w:val="0002543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2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collaboration.org/page/high-quality-professional-development-checklist" TargetMode="External"/><Relationship Id="rId13" Type="http://schemas.openxmlformats.org/officeDocument/2006/relationships/hyperlink" Target="https://eric.ed.gov/?id=ED510366" TargetMode="External"/><Relationship Id="rId18" Type="http://schemas.openxmlformats.org/officeDocument/2006/relationships/hyperlink" Target="http://signetwork.org/content_page_assets/content_page_66/adult%20learning%20Trivette%20and%20Dunst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i.org/10.1177%2F003172170909000709" TargetMode="External"/><Relationship Id="rId17" Type="http://schemas.openxmlformats.org/officeDocument/2006/relationships/hyperlink" Target="http://www.researchcollaboration.org/page/high-quality-professional-development-checkli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16/j.ecresq.2016.07.002" TargetMode="External"/><Relationship Id="rId20" Type="http://schemas.openxmlformats.org/officeDocument/2006/relationships/hyperlink" Target="https://eric.ed.gov/?id=ED53636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19415257.2016.11796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arningforward.org/standards-for-professional-learning" TargetMode="External"/><Relationship Id="rId10" Type="http://schemas.openxmlformats.org/officeDocument/2006/relationships/hyperlink" Target="https://doi.org/10.1097/iyc.0b013e3181abe169" TargetMode="External"/><Relationship Id="rId19" Type="http://schemas.openxmlformats.org/officeDocument/2006/relationships/hyperlink" Target="https://eric.ed.gov/?id=ED5652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ic.ed.gov/?id=ED520732" TargetMode="External"/><Relationship Id="rId14" Type="http://schemas.openxmlformats.org/officeDocument/2006/relationships/hyperlink" Target="https://doi.org/10.3102/003465431875926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67349-A4CC-4A23-B20C-11294AAC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3135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Monroe, Kasey A.</dc:creator>
  <cp:lastModifiedBy>Medici Cindy</cp:lastModifiedBy>
  <cp:revision>2</cp:revision>
  <cp:lastPrinted>2020-05-04T12:44:00Z</cp:lastPrinted>
  <dcterms:created xsi:type="dcterms:W3CDTF">2020-05-29T17:31:00Z</dcterms:created>
  <dcterms:modified xsi:type="dcterms:W3CDTF">2020-05-29T17:31:00Z</dcterms:modified>
</cp:coreProperties>
</file>