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9AD1" w14:textId="77777777" w:rsidR="00312622" w:rsidRPr="00626546" w:rsidRDefault="00312622" w:rsidP="00810D04">
      <w:pPr>
        <w:widowControl w:val="0"/>
        <w:spacing w:line="480" w:lineRule="auto"/>
        <w:rPr>
          <w:b/>
        </w:rPr>
      </w:pPr>
    </w:p>
    <w:p w14:paraId="7CE9761F" w14:textId="1D88CA45" w:rsidR="00583BD3" w:rsidRPr="000B5D65" w:rsidRDefault="00583BD3" w:rsidP="00810D04">
      <w:pPr>
        <w:widowControl w:val="0"/>
        <w:spacing w:line="480" w:lineRule="auto"/>
        <w:jc w:val="center"/>
        <w:rPr>
          <w:b/>
        </w:rPr>
      </w:pPr>
      <w:r w:rsidRPr="000B5D65">
        <w:rPr>
          <w:b/>
        </w:rPr>
        <w:t xml:space="preserve">35 Years </w:t>
      </w:r>
      <w:r w:rsidR="00AC6E1D" w:rsidRPr="000B5D65">
        <w:rPr>
          <w:b/>
        </w:rPr>
        <w:t>on the Road from Research to Practice</w:t>
      </w:r>
      <w:r w:rsidR="006105A4" w:rsidRPr="000B5D65">
        <w:rPr>
          <w:b/>
        </w:rPr>
        <w:t xml:space="preserve">: </w:t>
      </w:r>
    </w:p>
    <w:p w14:paraId="1831C9C8" w14:textId="77777777" w:rsidR="001622B5" w:rsidRPr="000B5D65" w:rsidRDefault="00583BD3" w:rsidP="00810D04">
      <w:pPr>
        <w:widowControl w:val="0"/>
        <w:spacing w:line="480" w:lineRule="auto"/>
        <w:jc w:val="center"/>
        <w:rPr>
          <w:b/>
        </w:rPr>
      </w:pPr>
      <w:r w:rsidRPr="000B5D65">
        <w:rPr>
          <w:b/>
        </w:rPr>
        <w:t xml:space="preserve">A Review of Studies </w:t>
      </w:r>
      <w:r w:rsidR="00AC6E1D" w:rsidRPr="000B5D65">
        <w:rPr>
          <w:b/>
        </w:rPr>
        <w:t>on Four Content Enhancement Routines for Inclusive</w:t>
      </w:r>
    </w:p>
    <w:p w14:paraId="7F9C20CA" w14:textId="5FFFF83D" w:rsidR="006105A4" w:rsidRDefault="00CF22E5" w:rsidP="00810D04">
      <w:pPr>
        <w:widowControl w:val="0"/>
        <w:spacing w:line="480" w:lineRule="auto"/>
        <w:jc w:val="center"/>
        <w:rPr>
          <w:b/>
        </w:rPr>
      </w:pPr>
      <w:r w:rsidRPr="000B5D65">
        <w:rPr>
          <w:b/>
        </w:rPr>
        <w:t>Subject-Area</w:t>
      </w:r>
      <w:r w:rsidR="00AC6E1D" w:rsidRPr="000B5D65">
        <w:rPr>
          <w:b/>
        </w:rPr>
        <w:t xml:space="preserve"> Classes</w:t>
      </w:r>
      <w:r w:rsidR="00FF3253">
        <w:rPr>
          <w:b/>
        </w:rPr>
        <w:t>,</w:t>
      </w:r>
      <w:r w:rsidR="001870A6" w:rsidRPr="000B5D65">
        <w:rPr>
          <w:b/>
        </w:rPr>
        <w:t xml:space="preserve"> Part I</w:t>
      </w:r>
      <w:r w:rsidR="00583BD3" w:rsidRPr="000B5D65">
        <w:rPr>
          <w:b/>
        </w:rPr>
        <w:t xml:space="preserve"> </w:t>
      </w:r>
    </w:p>
    <w:p w14:paraId="79E320A3" w14:textId="1967FD4F" w:rsidR="00C20699" w:rsidRDefault="00C20699" w:rsidP="00810D04">
      <w:pPr>
        <w:widowControl w:val="0"/>
        <w:spacing w:line="480" w:lineRule="auto"/>
        <w:jc w:val="center"/>
        <w:rPr>
          <w:b/>
        </w:rPr>
      </w:pPr>
    </w:p>
    <w:p w14:paraId="456D8F59" w14:textId="044D01E3" w:rsidR="00C20699" w:rsidRDefault="00C20699" w:rsidP="00810D04">
      <w:pPr>
        <w:widowControl w:val="0"/>
        <w:spacing w:line="480" w:lineRule="auto"/>
        <w:jc w:val="center"/>
        <w:rPr>
          <w:b/>
        </w:rPr>
      </w:pPr>
      <w:r>
        <w:rPr>
          <w:b/>
        </w:rPr>
        <w:t>Jean Bragg Schumaker, Ph.D.</w:t>
      </w:r>
    </w:p>
    <w:p w14:paraId="194E0DFA" w14:textId="1C9AE736" w:rsidR="00C20699" w:rsidRDefault="0012743F" w:rsidP="00810D04">
      <w:pPr>
        <w:widowControl w:val="0"/>
        <w:spacing w:line="480" w:lineRule="auto"/>
        <w:jc w:val="center"/>
        <w:rPr>
          <w:b/>
        </w:rPr>
      </w:pPr>
      <w:r>
        <w:rPr>
          <w:b/>
        </w:rPr>
        <w:t>Edge Enterprises, Inc.</w:t>
      </w:r>
    </w:p>
    <w:p w14:paraId="7DA4B3C4" w14:textId="32916C67" w:rsidR="0012743F" w:rsidRDefault="0012743F" w:rsidP="00810D04">
      <w:pPr>
        <w:widowControl w:val="0"/>
        <w:spacing w:line="480" w:lineRule="auto"/>
        <w:jc w:val="center"/>
        <w:rPr>
          <w:b/>
        </w:rPr>
      </w:pPr>
    </w:p>
    <w:p w14:paraId="0FF86B2F" w14:textId="6D9D6CEC" w:rsidR="0012743F" w:rsidRDefault="0012743F" w:rsidP="00810D04">
      <w:pPr>
        <w:widowControl w:val="0"/>
        <w:spacing w:line="480" w:lineRule="auto"/>
        <w:jc w:val="center"/>
        <w:rPr>
          <w:b/>
        </w:rPr>
      </w:pPr>
      <w:r>
        <w:rPr>
          <w:b/>
        </w:rPr>
        <w:t>Joseph B. Fisher, Ph.D.</w:t>
      </w:r>
    </w:p>
    <w:p w14:paraId="4720F91D" w14:textId="576A0908" w:rsidR="004954E0" w:rsidRPr="000B5D65" w:rsidRDefault="0012743F" w:rsidP="00810D04">
      <w:pPr>
        <w:widowControl w:val="0"/>
        <w:spacing w:line="480" w:lineRule="auto"/>
        <w:jc w:val="center"/>
        <w:rPr>
          <w:b/>
        </w:rPr>
      </w:pPr>
      <w:r>
        <w:rPr>
          <w:b/>
        </w:rPr>
        <w:t>Grand Valley University</w:t>
      </w:r>
    </w:p>
    <w:p w14:paraId="64C1899D" w14:textId="77777777" w:rsidR="001622B5" w:rsidRPr="000B5D65" w:rsidRDefault="001622B5" w:rsidP="00810D04">
      <w:pPr>
        <w:widowControl w:val="0"/>
        <w:spacing w:line="480" w:lineRule="auto"/>
        <w:jc w:val="center"/>
        <w:rPr>
          <w:b/>
        </w:rPr>
      </w:pPr>
    </w:p>
    <w:p w14:paraId="78B985DC" w14:textId="6FEED76A" w:rsidR="003E2FAB" w:rsidRDefault="00D160E1" w:rsidP="00810D04">
      <w:pPr>
        <w:widowControl w:val="0"/>
        <w:spacing w:line="480" w:lineRule="auto"/>
        <w:jc w:val="center"/>
        <w:rPr>
          <w:b/>
        </w:rPr>
      </w:pPr>
      <w:r>
        <w:rPr>
          <w:b/>
        </w:rPr>
        <w:t>March 3</w:t>
      </w:r>
      <w:r w:rsidR="00DB7025">
        <w:rPr>
          <w:b/>
        </w:rPr>
        <w:t>0</w:t>
      </w:r>
      <w:r>
        <w:rPr>
          <w:b/>
        </w:rPr>
        <w:t>, 2021</w:t>
      </w:r>
    </w:p>
    <w:p w14:paraId="27F7DD78" w14:textId="77777777" w:rsidR="00D160E1" w:rsidRDefault="00D160E1" w:rsidP="00810D04">
      <w:pPr>
        <w:widowControl w:val="0"/>
        <w:spacing w:line="480" w:lineRule="auto"/>
        <w:jc w:val="center"/>
        <w:rPr>
          <w:b/>
        </w:rPr>
      </w:pPr>
    </w:p>
    <w:p w14:paraId="1169A260" w14:textId="77777777" w:rsidR="00D160E1" w:rsidRDefault="00D160E1" w:rsidP="00810D04">
      <w:pPr>
        <w:widowControl w:val="0"/>
        <w:spacing w:line="480" w:lineRule="auto"/>
        <w:jc w:val="center"/>
        <w:rPr>
          <w:b/>
        </w:rPr>
      </w:pPr>
      <w:r w:rsidRPr="00502666">
        <w:rPr>
          <w:b/>
        </w:rPr>
        <w:t>Author Notes</w:t>
      </w:r>
    </w:p>
    <w:p w14:paraId="1C86E6C3" w14:textId="77777777" w:rsidR="00D160E1" w:rsidRPr="0052323C" w:rsidRDefault="00D160E1" w:rsidP="00810D04">
      <w:pPr>
        <w:widowControl w:val="0"/>
        <w:spacing w:line="480" w:lineRule="auto"/>
        <w:jc w:val="center"/>
        <w:rPr>
          <w:b/>
        </w:rPr>
      </w:pPr>
    </w:p>
    <w:p w14:paraId="7E4F8EEB" w14:textId="08399C44" w:rsidR="00D160E1" w:rsidRPr="0052323C" w:rsidRDefault="00D160E1" w:rsidP="00810D04">
      <w:pPr>
        <w:widowControl w:val="0"/>
        <w:spacing w:line="480" w:lineRule="auto"/>
        <w:ind w:firstLine="720"/>
      </w:pPr>
      <w:r w:rsidRPr="0052323C">
        <w:t xml:space="preserve">The authors wish to thank the other primary researchers who developed and tested the Content Enhancement Routines reviewed in this article, including Drs. Janis A. </w:t>
      </w:r>
      <w:proofErr w:type="spellStart"/>
      <w:r w:rsidRPr="0052323C">
        <w:t>Bulgren</w:t>
      </w:r>
      <w:proofErr w:type="spellEnd"/>
      <w:r w:rsidRPr="0052323C">
        <w:t>, Donald D. Deshler, and B. Keith Lenz. The research studies reviewed herein were supported by the National Institute on Disability and Rehabilitation Research</w:t>
      </w:r>
      <w:r w:rsidR="00470263" w:rsidRPr="0052323C">
        <w:t xml:space="preserve"> and the </w:t>
      </w:r>
      <w:r w:rsidRPr="0052323C">
        <w:t xml:space="preserve">U. S. Department of Education. The authors received no funding to create this article. </w:t>
      </w:r>
    </w:p>
    <w:p w14:paraId="1B54706C" w14:textId="4D2AC388" w:rsidR="00D160E1" w:rsidRPr="0052323C" w:rsidRDefault="00D160E1" w:rsidP="00810D04">
      <w:pPr>
        <w:widowControl w:val="0"/>
        <w:spacing w:line="480" w:lineRule="auto"/>
        <w:ind w:firstLine="720"/>
        <w:rPr>
          <w:b/>
        </w:rPr>
      </w:pPr>
      <w:r w:rsidRPr="0052323C">
        <w:t xml:space="preserve">Correspondence concerning this article should be addressed to Dr. Jean B. Schumaker, Edge Enterprises, Inc., P.O. Box 1304, Lawrence, KS 66044. Email: </w:t>
      </w:r>
      <w:hyperlink r:id="rId7" w:history="1">
        <w:r w:rsidRPr="0052323C">
          <w:rPr>
            <w:rStyle w:val="Hyperlink"/>
          </w:rPr>
          <w:t>jschumak@edgeenterprisesinc.com</w:t>
        </w:r>
      </w:hyperlink>
    </w:p>
    <w:p w14:paraId="2C766607" w14:textId="52B29C70" w:rsidR="0052323C" w:rsidRDefault="0052323C" w:rsidP="00810D04">
      <w:pPr>
        <w:widowControl w:val="0"/>
        <w:rPr>
          <w:b/>
        </w:rPr>
      </w:pPr>
      <w:r>
        <w:rPr>
          <w:b/>
        </w:rPr>
        <w:br w:type="page"/>
      </w:r>
    </w:p>
    <w:p w14:paraId="45C4CAA7" w14:textId="30DF3157" w:rsidR="006105A4" w:rsidRPr="000B5D65" w:rsidRDefault="006105A4" w:rsidP="00810D04">
      <w:pPr>
        <w:widowControl w:val="0"/>
        <w:spacing w:line="480" w:lineRule="auto"/>
        <w:jc w:val="center"/>
        <w:rPr>
          <w:b/>
        </w:rPr>
      </w:pPr>
      <w:r w:rsidRPr="000B5D65">
        <w:rPr>
          <w:b/>
        </w:rPr>
        <w:lastRenderedPageBreak/>
        <w:t>Abstract</w:t>
      </w:r>
    </w:p>
    <w:p w14:paraId="2857F918" w14:textId="25C4BEC9" w:rsidR="002F7B8E" w:rsidRPr="000B5D65" w:rsidRDefault="001870A6" w:rsidP="00810D04">
      <w:pPr>
        <w:widowControl w:val="0"/>
        <w:spacing w:line="480" w:lineRule="auto"/>
        <w:ind w:firstLine="720"/>
      </w:pPr>
      <w:r w:rsidRPr="000B5D65">
        <w:t xml:space="preserve">This article is the first part of a two-part article focusing on </w:t>
      </w:r>
      <w:r w:rsidR="00062F66">
        <w:t>the 35-year journey of a team of researchers as they navigated the research-to-practice road related to the development of the</w:t>
      </w:r>
      <w:r w:rsidRPr="000B5D65">
        <w:t xml:space="preserve"> Content Enhancement Routines, instructional routines </w:t>
      </w:r>
      <w:r w:rsidR="00062F66">
        <w:t xml:space="preserve">to be used </w:t>
      </w:r>
      <w:r w:rsidRPr="000B5D65">
        <w:t xml:space="preserve">during inclusive subject-area instruction. Part I </w:t>
      </w:r>
      <w:r w:rsidR="00062F66">
        <w:t>tells the story of the first half of that journey and highlights</w:t>
      </w:r>
      <w:r w:rsidRPr="000B5D65">
        <w:t xml:space="preserve"> the original validation research studies that were conducted on four Content Enhancement Routines: </w:t>
      </w:r>
      <w:proofErr w:type="gramStart"/>
      <w:r w:rsidRPr="000B5D65">
        <w:t>the</w:t>
      </w:r>
      <w:proofErr w:type="gramEnd"/>
      <w:r w:rsidRPr="000B5D65">
        <w:t xml:space="preserve"> Concept Mastery Routine, the Concept Comparison Routine, the Concept Anchoring Routine, and the Question Exploration Routine. Each study utilizes some type of </w:t>
      </w:r>
      <w:r w:rsidR="0072173B" w:rsidRPr="000B5D65">
        <w:t>experimental research</w:t>
      </w:r>
      <w:r w:rsidRPr="000B5D65">
        <w:t xml:space="preserve"> design to determine the effects </w:t>
      </w:r>
      <w:r w:rsidR="0072173B" w:rsidRPr="000B5D65">
        <w:t xml:space="preserve">of teachers’ use of </w:t>
      </w:r>
      <w:r w:rsidR="00062F66">
        <w:t>the</w:t>
      </w:r>
      <w:r w:rsidR="0072173B" w:rsidRPr="000B5D65">
        <w:t xml:space="preserve"> routine </w:t>
      </w:r>
      <w:r w:rsidRPr="000B5D65">
        <w:t xml:space="preserve">on the test performance of subgroups of </w:t>
      </w:r>
      <w:r w:rsidR="0072173B" w:rsidRPr="000B5D65">
        <w:t xml:space="preserve">secondary </w:t>
      </w:r>
      <w:r w:rsidRPr="000B5D65">
        <w:t xml:space="preserve">students within inclusive classes. The subgroups included </w:t>
      </w:r>
      <w:r w:rsidR="0015230B" w:rsidRPr="000B5D65">
        <w:t xml:space="preserve">either </w:t>
      </w:r>
      <w:r w:rsidR="0072173B" w:rsidRPr="000B5D65">
        <w:t>students with disabilities</w:t>
      </w:r>
      <w:r w:rsidR="0015230B" w:rsidRPr="000B5D65">
        <w:t xml:space="preserve"> and students without disabilities,</w:t>
      </w:r>
      <w:r w:rsidR="0072173B" w:rsidRPr="000B5D65">
        <w:t xml:space="preserve"> </w:t>
      </w:r>
      <w:r w:rsidRPr="000B5D65">
        <w:t xml:space="preserve">high achievers, normal achievers, </w:t>
      </w:r>
      <w:r w:rsidR="0015230B" w:rsidRPr="000B5D65">
        <w:t xml:space="preserve">and </w:t>
      </w:r>
      <w:r w:rsidRPr="000B5D65">
        <w:t xml:space="preserve">low achievers. In all of the studies, the students who participated in the instructional routine </w:t>
      </w:r>
      <w:r w:rsidR="0072173B" w:rsidRPr="000B5D65">
        <w:t>earned</w:t>
      </w:r>
      <w:r w:rsidRPr="000B5D65">
        <w:t xml:space="preserve"> significantly higher </w:t>
      </w:r>
      <w:r w:rsidR="00947B35" w:rsidRPr="000B5D65">
        <w:t xml:space="preserve">test </w:t>
      </w:r>
      <w:r w:rsidR="0072173B" w:rsidRPr="000B5D65">
        <w:t xml:space="preserve">scores </w:t>
      </w:r>
      <w:r w:rsidRPr="000B5D65">
        <w:t xml:space="preserve">than students who </w:t>
      </w:r>
      <w:r w:rsidR="00947B35" w:rsidRPr="000B5D65">
        <w:t>participated in</w:t>
      </w:r>
      <w:r w:rsidRPr="000B5D65">
        <w:t xml:space="preserve"> a standard le</w:t>
      </w:r>
      <w:r w:rsidR="0072173B" w:rsidRPr="000B5D65">
        <w:t>cture/</w:t>
      </w:r>
      <w:r w:rsidR="00B254BE" w:rsidRPr="000B5D65">
        <w:t>discussion</w:t>
      </w:r>
      <w:r w:rsidR="0072173B" w:rsidRPr="000B5D65">
        <w:t xml:space="preserve"> lesson</w:t>
      </w:r>
      <w:r w:rsidR="00B254BE" w:rsidRPr="000B5D65">
        <w:t xml:space="preserve">. </w:t>
      </w:r>
      <w:r w:rsidRPr="000B5D65">
        <w:t>Add</w:t>
      </w:r>
      <w:r w:rsidR="0072173B" w:rsidRPr="000B5D65">
        <w:t>itionally</w:t>
      </w:r>
      <w:r w:rsidR="00B254BE" w:rsidRPr="000B5D65">
        <w:t xml:space="preserve">, </w:t>
      </w:r>
      <w:r w:rsidR="00947B35" w:rsidRPr="000B5D65">
        <w:t>where significant differences were found</w:t>
      </w:r>
      <w:r w:rsidR="00B254BE" w:rsidRPr="000B5D65">
        <w:t xml:space="preserve">, the performance of each subgroup of students who participated in the instructional routine was significantly higher than the performance of their paired subgroup who participated in the lecture/discussion lesson. </w:t>
      </w:r>
    </w:p>
    <w:p w14:paraId="43FB5825" w14:textId="6A9413BB" w:rsidR="002F7B8E" w:rsidRPr="000B5D65" w:rsidRDefault="002F7B8E" w:rsidP="00810D04">
      <w:pPr>
        <w:widowControl w:val="0"/>
        <w:spacing w:line="480" w:lineRule="auto"/>
        <w:ind w:firstLine="720"/>
      </w:pPr>
      <w:r w:rsidRPr="000B5D65">
        <w:rPr>
          <w:i/>
        </w:rPr>
        <w:t>Keywords</w:t>
      </w:r>
      <w:r w:rsidRPr="000B5D65">
        <w:t xml:space="preserve">: inclusive classes, students with LD, students with disabilities, </w:t>
      </w:r>
      <w:r w:rsidR="00062F66">
        <w:t xml:space="preserve">general education, </w:t>
      </w:r>
      <w:r w:rsidRPr="000B5D65">
        <w:t>subject-area instruction, secondary</w:t>
      </w:r>
      <w:r w:rsidR="00062F66">
        <w:t xml:space="preserve"> education</w:t>
      </w:r>
      <w:r w:rsidRPr="000B5D65">
        <w:t>, Strategic Instruction</w:t>
      </w:r>
      <w:r w:rsidR="00F13629">
        <w:t>, Content Enhancement Routines</w:t>
      </w:r>
      <w:r w:rsidRPr="000B5D65">
        <w:t>.</w:t>
      </w:r>
    </w:p>
    <w:p w14:paraId="64C5A639" w14:textId="3A7F916C" w:rsidR="006105A4" w:rsidRPr="000B5D65" w:rsidRDefault="006105A4" w:rsidP="00810D04">
      <w:pPr>
        <w:widowControl w:val="0"/>
        <w:spacing w:line="480" w:lineRule="auto"/>
        <w:ind w:firstLine="720"/>
      </w:pPr>
      <w:r w:rsidRPr="000B5D65">
        <w:br w:type="page"/>
      </w:r>
    </w:p>
    <w:p w14:paraId="2D170FB9" w14:textId="77777777" w:rsidR="007E56F2" w:rsidRPr="000B5D65" w:rsidRDefault="007E56F2" w:rsidP="00810D04">
      <w:pPr>
        <w:widowControl w:val="0"/>
        <w:spacing w:line="480" w:lineRule="auto"/>
        <w:ind w:firstLine="720"/>
        <w:jc w:val="center"/>
        <w:rPr>
          <w:b/>
        </w:rPr>
      </w:pPr>
      <w:r w:rsidRPr="000B5D65">
        <w:rPr>
          <w:b/>
        </w:rPr>
        <w:lastRenderedPageBreak/>
        <w:t xml:space="preserve">35 Years on the Road from Research to Practice: </w:t>
      </w:r>
    </w:p>
    <w:p w14:paraId="0FD3E3E4" w14:textId="77777777" w:rsidR="00867606" w:rsidRPr="000B5D65" w:rsidRDefault="007E56F2" w:rsidP="00810D04">
      <w:pPr>
        <w:widowControl w:val="0"/>
        <w:spacing w:line="480" w:lineRule="auto"/>
        <w:ind w:firstLine="720"/>
        <w:jc w:val="center"/>
        <w:rPr>
          <w:b/>
        </w:rPr>
      </w:pPr>
      <w:r w:rsidRPr="000B5D65">
        <w:rPr>
          <w:b/>
        </w:rPr>
        <w:t xml:space="preserve">A Review of Studies on Four Content Enhancement Routines for Inclusive </w:t>
      </w:r>
    </w:p>
    <w:p w14:paraId="68C2FD0D" w14:textId="069CB4DB" w:rsidR="007E56F2" w:rsidRPr="000B5D65" w:rsidRDefault="007E56F2" w:rsidP="00810D04">
      <w:pPr>
        <w:widowControl w:val="0"/>
        <w:spacing w:line="480" w:lineRule="auto"/>
        <w:ind w:firstLine="720"/>
        <w:jc w:val="center"/>
        <w:rPr>
          <w:b/>
        </w:rPr>
      </w:pPr>
      <w:r w:rsidRPr="000B5D65">
        <w:rPr>
          <w:b/>
        </w:rPr>
        <w:t>Subject-Area Classes</w:t>
      </w:r>
      <w:r w:rsidR="00FF3253">
        <w:rPr>
          <w:b/>
        </w:rPr>
        <w:t>,</w:t>
      </w:r>
      <w:r w:rsidR="00B254BE" w:rsidRPr="000B5D65">
        <w:rPr>
          <w:b/>
        </w:rPr>
        <w:t xml:space="preserve"> Part I</w:t>
      </w:r>
      <w:r w:rsidRPr="000B5D65">
        <w:rPr>
          <w:b/>
        </w:rPr>
        <w:t xml:space="preserve"> </w:t>
      </w:r>
    </w:p>
    <w:p w14:paraId="487CF6B3" w14:textId="5A4392C7" w:rsidR="00D55C6B" w:rsidRDefault="00D55C6B" w:rsidP="00810D04">
      <w:pPr>
        <w:widowControl w:val="0"/>
        <w:spacing w:line="480" w:lineRule="auto"/>
        <w:ind w:firstLine="720"/>
      </w:pPr>
      <w:r w:rsidRPr="00D160E1">
        <w:rPr>
          <w:b/>
          <w:bCs/>
        </w:rPr>
        <w:t xml:space="preserve">One of </w:t>
      </w:r>
      <w:r w:rsidR="0032216C" w:rsidRPr="00D160E1">
        <w:rPr>
          <w:b/>
          <w:bCs/>
        </w:rPr>
        <w:t>most daunting and</w:t>
      </w:r>
      <w:r w:rsidRPr="00D160E1">
        <w:rPr>
          <w:b/>
          <w:bCs/>
        </w:rPr>
        <w:t xml:space="preserve"> enduring issues facing the education field today is ensuring that research-validated procedures </w:t>
      </w:r>
      <w:r w:rsidR="00D160E1" w:rsidRPr="00D160E1">
        <w:rPr>
          <w:b/>
          <w:bCs/>
        </w:rPr>
        <w:t>become part of practice in the nation’s schools.</w:t>
      </w:r>
      <w:r w:rsidRPr="00D160E1">
        <w:rPr>
          <w:b/>
          <w:bCs/>
        </w:rPr>
        <w:t xml:space="preserve"> </w:t>
      </w:r>
      <w:r w:rsidR="00D160E1" w:rsidRPr="00D160E1">
        <w:rPr>
          <w:b/>
          <w:bCs/>
        </w:rPr>
        <w:t>To accomplish this, they must be translated into formats that can actually be used in</w:t>
      </w:r>
      <w:r w:rsidRPr="00D160E1">
        <w:rPr>
          <w:b/>
          <w:bCs/>
        </w:rPr>
        <w:t xml:space="preserve"> schools and are taught to teachers in a way that results in changed teacher practice and improved student outcomes</w:t>
      </w:r>
      <w:r w:rsidRPr="000B5D65">
        <w:t xml:space="preserve"> (</w:t>
      </w:r>
      <w:r w:rsidR="00BA40C9" w:rsidRPr="000B5D65">
        <w:t xml:space="preserve">Desimone, 2009; </w:t>
      </w:r>
      <w:r w:rsidR="00D728D7">
        <w:t>Fisher</w:t>
      </w:r>
      <w:r w:rsidR="00BA40C9" w:rsidRPr="000B5D65">
        <w:t xml:space="preserve"> et al., 2010; Darling-Hammond et al., 2017</w:t>
      </w:r>
      <w:r w:rsidRPr="000B5D65">
        <w:t xml:space="preserve">). In order for this </w:t>
      </w:r>
      <w:r w:rsidR="0080581D" w:rsidRPr="000B5D65">
        <w:t>journey</w:t>
      </w:r>
      <w:r w:rsidRPr="000B5D65">
        <w:t xml:space="preserve"> from research to practice to take place, a number of prerequisites are required. First, </w:t>
      </w:r>
      <w:r w:rsidR="00900F91">
        <w:t xml:space="preserve">the </w:t>
      </w:r>
      <w:r w:rsidRPr="000B5D65">
        <w:t xml:space="preserve">research </w:t>
      </w:r>
      <w:r w:rsidR="00900F91">
        <w:t>has to</w:t>
      </w:r>
      <w:r w:rsidRPr="000B5D65">
        <w:t xml:space="preserve"> identif</w:t>
      </w:r>
      <w:r w:rsidR="00900F91">
        <w:t>y</w:t>
      </w:r>
      <w:r w:rsidRPr="000B5D65">
        <w:t xml:space="preserve"> </w:t>
      </w:r>
      <w:r w:rsidR="008E7EAD" w:rsidRPr="000B5D65">
        <w:t xml:space="preserve">instructional </w:t>
      </w:r>
      <w:r w:rsidRPr="000B5D65">
        <w:t>methods tha</w:t>
      </w:r>
      <w:r w:rsidR="008E7EAD" w:rsidRPr="000B5D65">
        <w:t>t actually result in improved</w:t>
      </w:r>
      <w:r w:rsidRPr="000B5D65">
        <w:t xml:space="preserve"> student outcomes</w:t>
      </w:r>
      <w:r w:rsidR="00CE7924">
        <w:t xml:space="preserve"> (</w:t>
      </w:r>
      <w:proofErr w:type="spellStart"/>
      <w:r w:rsidR="00CE7924" w:rsidRPr="003D1869">
        <w:rPr>
          <w:b/>
          <w:bCs/>
        </w:rPr>
        <w:t>Slavin</w:t>
      </w:r>
      <w:proofErr w:type="spellEnd"/>
      <w:r w:rsidR="00CE7924" w:rsidRPr="003D1869">
        <w:rPr>
          <w:b/>
          <w:bCs/>
        </w:rPr>
        <w:t>, 2020</w:t>
      </w:r>
      <w:r w:rsidR="00CE7924">
        <w:t>)</w:t>
      </w:r>
      <w:r w:rsidRPr="000B5D65">
        <w:t xml:space="preserve">. The research </w:t>
      </w:r>
      <w:r w:rsidR="00900F91">
        <w:t>has to</w:t>
      </w:r>
      <w:r w:rsidRPr="000B5D65">
        <w:t xml:space="preserve"> be methodologically sound and accepted by the education field. </w:t>
      </w:r>
      <w:r w:rsidR="008E7EAD" w:rsidRPr="000B5D65">
        <w:t xml:space="preserve">This means that the research </w:t>
      </w:r>
      <w:r w:rsidR="00900F91">
        <w:t xml:space="preserve">should </w:t>
      </w:r>
      <w:r w:rsidR="008E7EAD" w:rsidRPr="000B5D65">
        <w:t>employ experimental designs that control for the effects of extraneous factors</w:t>
      </w:r>
      <w:r w:rsidR="00900F91">
        <w:t>,</w:t>
      </w:r>
      <w:r w:rsidR="008E7EAD" w:rsidRPr="000B5D65">
        <w:t xml:space="preserve"> and </w:t>
      </w:r>
      <w:r w:rsidR="00900F91">
        <w:t>it should be</w:t>
      </w:r>
      <w:r w:rsidR="008E7EAD" w:rsidRPr="000B5D65">
        <w:t xml:space="preserve"> carefully conducted. </w:t>
      </w:r>
      <w:r w:rsidRPr="000B5D65">
        <w:t xml:space="preserve">Further, </w:t>
      </w:r>
      <w:r w:rsidR="00900F91">
        <w:t>the research has to</w:t>
      </w:r>
      <w:r w:rsidRPr="000B5D65">
        <w:t xml:space="preserve"> produce outcomes that the field endorses. </w:t>
      </w:r>
      <w:r w:rsidR="008E7EAD" w:rsidRPr="000B5D65">
        <w:t>Typically, this means that not only does the intervention produce statistically significant outcomes</w:t>
      </w:r>
      <w:r w:rsidR="004954E0" w:rsidRPr="000B5D65">
        <w:t xml:space="preserve"> with acceptable effect sizes</w:t>
      </w:r>
      <w:r w:rsidR="008E7EAD" w:rsidRPr="000B5D65">
        <w:t xml:space="preserve">, but that those outcomes are </w:t>
      </w:r>
      <w:r w:rsidR="008E7EAD" w:rsidRPr="000B5D65">
        <w:rPr>
          <w:i/>
        </w:rPr>
        <w:t>socially</w:t>
      </w:r>
      <w:r w:rsidR="008E7EAD" w:rsidRPr="000B5D65">
        <w:t xml:space="preserve"> significant </w:t>
      </w:r>
      <w:r w:rsidR="00CE7924" w:rsidRPr="003D1869">
        <w:rPr>
          <w:b/>
          <w:bCs/>
        </w:rPr>
        <w:t>(</w:t>
      </w:r>
      <w:proofErr w:type="spellStart"/>
      <w:r w:rsidR="00CE7924" w:rsidRPr="003D1869">
        <w:rPr>
          <w:b/>
          <w:bCs/>
        </w:rPr>
        <w:t>Bernardi</w:t>
      </w:r>
      <w:proofErr w:type="spellEnd"/>
      <w:r w:rsidR="00CE7924" w:rsidRPr="003D1869">
        <w:rPr>
          <w:b/>
          <w:bCs/>
        </w:rPr>
        <w:t xml:space="preserve"> et al., 2017</w:t>
      </w:r>
      <w:r w:rsidR="00CE7924">
        <w:t xml:space="preserve">). </w:t>
      </w:r>
      <w:r w:rsidR="008E7EAD" w:rsidRPr="000B5D65">
        <w:t xml:space="preserve">For example, </w:t>
      </w:r>
      <w:r w:rsidR="00CE7924">
        <w:t xml:space="preserve">to truly have an impact on the quality of students’ lives, </w:t>
      </w:r>
      <w:r w:rsidR="00900F91">
        <w:t xml:space="preserve">the intervention has to teach students </w:t>
      </w:r>
      <w:r w:rsidR="008E7EAD" w:rsidRPr="000B5D65">
        <w:t xml:space="preserve">who cannot read to read, who cannot write to write, or </w:t>
      </w:r>
      <w:r w:rsidR="00900F91">
        <w:t>who are failing tests</w:t>
      </w:r>
      <w:r w:rsidR="008E7EAD" w:rsidRPr="000B5D65">
        <w:t xml:space="preserve"> to pass</w:t>
      </w:r>
      <w:r w:rsidR="00900F91">
        <w:t xml:space="preserve"> those</w:t>
      </w:r>
      <w:r w:rsidR="008E7EAD" w:rsidRPr="000B5D65">
        <w:t xml:space="preserve"> tests. </w:t>
      </w:r>
      <w:r w:rsidR="00A315D1" w:rsidRPr="000B5D65">
        <w:t xml:space="preserve">A four-point gain from an average score of 52% correct to 56% correct is simply not useful if students are still failing. </w:t>
      </w:r>
      <w:r w:rsidR="008171B2" w:rsidRPr="000B5D65">
        <w:t>Furthermore, teachers and students have to be satisfied with the intervention</w:t>
      </w:r>
      <w:r w:rsidR="006B5730" w:rsidRPr="000B5D65">
        <w:t xml:space="preserve"> (</w:t>
      </w:r>
      <w:r w:rsidR="00CE7924" w:rsidRPr="003D1869">
        <w:rPr>
          <w:b/>
          <w:bCs/>
        </w:rPr>
        <w:t>Kirkpatrick &amp; Kirkpatrick, 2016</w:t>
      </w:r>
      <w:r w:rsidR="00CE7924">
        <w:t xml:space="preserve">; </w:t>
      </w:r>
      <w:r w:rsidR="006B5730" w:rsidRPr="000B5D65">
        <w:t>Wolf, 1978)</w:t>
      </w:r>
      <w:r w:rsidR="008171B2" w:rsidRPr="000B5D65">
        <w:t xml:space="preserve">. </w:t>
      </w:r>
      <w:r w:rsidR="00A315D1" w:rsidRPr="000B5D65">
        <w:t xml:space="preserve">If teachers do not like to implement the intervention, they will not use it. Likewise, if students complain to teachers about an intervention, teachers will not use it </w:t>
      </w:r>
      <w:r w:rsidR="006B5730" w:rsidRPr="000B5D65">
        <w:t>in the future</w:t>
      </w:r>
      <w:r w:rsidR="00A315D1" w:rsidRPr="000B5D65">
        <w:t xml:space="preserve">. </w:t>
      </w:r>
      <w:r w:rsidR="008E7EAD" w:rsidRPr="000B5D65">
        <w:t xml:space="preserve">If </w:t>
      </w:r>
      <w:r w:rsidR="00056359" w:rsidRPr="000B5D65">
        <w:t>research</w:t>
      </w:r>
      <w:r w:rsidR="00A315D1" w:rsidRPr="000B5D65">
        <w:t xml:space="preserve"> </w:t>
      </w:r>
      <w:r w:rsidR="008E7EAD" w:rsidRPr="000B5D65">
        <w:t xml:space="preserve">outcomes </w:t>
      </w:r>
      <w:r w:rsidR="00A315D1" w:rsidRPr="000B5D65">
        <w:t>are statistically and socially significant</w:t>
      </w:r>
      <w:r w:rsidR="00056359" w:rsidRPr="000B5D65">
        <w:t>,</w:t>
      </w:r>
      <w:r w:rsidR="00A315D1" w:rsidRPr="000B5D65">
        <w:t xml:space="preserve"> and teachers and students are satisfied</w:t>
      </w:r>
      <w:r w:rsidR="00056359" w:rsidRPr="000B5D65">
        <w:t xml:space="preserve"> with the intervention,</w:t>
      </w:r>
      <w:r w:rsidR="00A315D1" w:rsidRPr="000B5D65">
        <w:t xml:space="preserve"> </w:t>
      </w:r>
      <w:r w:rsidR="008E7EAD" w:rsidRPr="000B5D65">
        <w:t xml:space="preserve">educators will </w:t>
      </w:r>
      <w:r w:rsidR="008E7EAD" w:rsidRPr="000B5D65">
        <w:lastRenderedPageBreak/>
        <w:t>be more likely to wa</w:t>
      </w:r>
      <w:r w:rsidR="00056359" w:rsidRPr="000B5D65">
        <w:t>nt to learn about the innovation, use it, and keep using it</w:t>
      </w:r>
      <w:r w:rsidR="008E7EAD" w:rsidRPr="000B5D65">
        <w:t xml:space="preserve">. </w:t>
      </w:r>
      <w:r w:rsidR="004954E0" w:rsidRPr="000B5D65">
        <w:t>If these outcomes</w:t>
      </w:r>
      <w:r w:rsidR="0080581D" w:rsidRPr="000B5D65">
        <w:t xml:space="preserve"> are not achieved, </w:t>
      </w:r>
      <w:r w:rsidR="008171B2" w:rsidRPr="000B5D65">
        <w:t>the innovation is likely to be ignored.</w:t>
      </w:r>
      <w:r w:rsidR="008E7EAD" w:rsidRPr="000B5D65">
        <w:t xml:space="preserve"> </w:t>
      </w:r>
    </w:p>
    <w:p w14:paraId="347967A7" w14:textId="776DA9AD" w:rsidR="00062F66" w:rsidRDefault="00062F66" w:rsidP="00810D04">
      <w:pPr>
        <w:widowControl w:val="0"/>
        <w:spacing w:line="480" w:lineRule="auto"/>
        <w:ind w:firstLine="720"/>
      </w:pPr>
      <w:r>
        <w:t xml:space="preserve">Before any of this validation research takes place, however, the research-to-practice cycle </w:t>
      </w:r>
      <w:r w:rsidR="00900F91">
        <w:t>typically begins</w:t>
      </w:r>
      <w:r>
        <w:t xml:space="preserve"> with an expressed need in the field of education (see Figure 1). That is, in order for any educators to be interested in the outcomes of research, they </w:t>
      </w:r>
      <w:r w:rsidR="00900F91">
        <w:t>have to see</w:t>
      </w:r>
      <w:r>
        <w:t xml:space="preserve"> a need for the products of that research. Typically, such a need is expressed through </w:t>
      </w:r>
      <w:r w:rsidR="00A84EB5" w:rsidRPr="00DF76E0">
        <w:rPr>
          <w:b/>
          <w:bCs/>
        </w:rPr>
        <w:t xml:space="preserve">personal contacts with classroom teachers and administrators, </w:t>
      </w:r>
      <w:r w:rsidR="00A84EB5">
        <w:t xml:space="preserve">the </w:t>
      </w:r>
      <w:r>
        <w:t xml:space="preserve">literature, national initiatives, or through requests for proposals from funding agencies. </w:t>
      </w:r>
    </w:p>
    <w:p w14:paraId="2AF0DB84" w14:textId="552BEE90" w:rsidR="00062F66" w:rsidRPr="00DF76E0" w:rsidRDefault="00062F66" w:rsidP="00810D04">
      <w:pPr>
        <w:widowControl w:val="0"/>
        <w:spacing w:line="480" w:lineRule="auto"/>
        <w:ind w:firstLine="720"/>
        <w:rPr>
          <w:b/>
          <w:bCs/>
        </w:rPr>
      </w:pPr>
      <w:r w:rsidRPr="00DF76E0">
        <w:rPr>
          <w:b/>
          <w:bCs/>
        </w:rPr>
        <w:t xml:space="preserve">Once the need is expressed, researchers can begin work to address that need. </w:t>
      </w:r>
      <w:r w:rsidR="00A84EB5" w:rsidRPr="00DF76E0">
        <w:rPr>
          <w:b/>
          <w:bCs/>
        </w:rPr>
        <w:t xml:space="preserve">They may hold meetings and gather ideas from </w:t>
      </w:r>
      <w:proofErr w:type="spellStart"/>
      <w:r w:rsidR="00A84EB5" w:rsidRPr="00DF76E0">
        <w:rPr>
          <w:b/>
          <w:bCs/>
        </w:rPr>
        <w:t>inservice</w:t>
      </w:r>
      <w:proofErr w:type="spellEnd"/>
      <w:r w:rsidR="00A84EB5" w:rsidRPr="00DF76E0">
        <w:rPr>
          <w:b/>
          <w:bCs/>
        </w:rPr>
        <w:t xml:space="preserve"> teachers. Then, they can move forward seriously with creating ideas for innovative instructional procedures and obtaining feedback from focus groups. Once an idea has</w:t>
      </w:r>
      <w:r w:rsidRPr="00DF76E0">
        <w:rPr>
          <w:b/>
          <w:bCs/>
        </w:rPr>
        <w:t xml:space="preserve"> </w:t>
      </w:r>
      <w:r w:rsidR="00A84EB5" w:rsidRPr="00DF76E0">
        <w:rPr>
          <w:b/>
          <w:bCs/>
        </w:rPr>
        <w:t xml:space="preserve">received some positive approval, researchers will often look for </w:t>
      </w:r>
      <w:r w:rsidRPr="00DF76E0">
        <w:rPr>
          <w:b/>
          <w:bCs/>
        </w:rPr>
        <w:t>funding of some sort through state or federal agencies</w:t>
      </w:r>
      <w:r w:rsidR="00900F91" w:rsidRPr="00DF76E0">
        <w:rPr>
          <w:b/>
          <w:bCs/>
        </w:rPr>
        <w:t>,</w:t>
      </w:r>
      <w:r w:rsidRPr="00DF76E0">
        <w:rPr>
          <w:b/>
          <w:bCs/>
        </w:rPr>
        <w:t xml:space="preserve"> foundations</w:t>
      </w:r>
      <w:r w:rsidR="00900F91" w:rsidRPr="00DF76E0">
        <w:rPr>
          <w:b/>
          <w:bCs/>
        </w:rPr>
        <w:t>, or other interested parties</w:t>
      </w:r>
      <w:r w:rsidRPr="00DF76E0">
        <w:rPr>
          <w:b/>
          <w:bCs/>
        </w:rPr>
        <w:t xml:space="preserve">. They </w:t>
      </w:r>
      <w:r w:rsidR="00A84EB5" w:rsidRPr="00DF76E0">
        <w:rPr>
          <w:b/>
          <w:bCs/>
        </w:rPr>
        <w:t>will further refine their innovative idea as they write</w:t>
      </w:r>
      <w:r w:rsidRPr="00DF76E0">
        <w:rPr>
          <w:b/>
          <w:bCs/>
        </w:rPr>
        <w:t xml:space="preserve"> research proposals. If their proposals match the expressed need</w:t>
      </w:r>
      <w:r w:rsidR="00A84EB5" w:rsidRPr="00DF76E0">
        <w:rPr>
          <w:b/>
          <w:bCs/>
        </w:rPr>
        <w:t xml:space="preserve"> in the field</w:t>
      </w:r>
      <w:r w:rsidRPr="00DF76E0">
        <w:rPr>
          <w:b/>
          <w:bCs/>
        </w:rPr>
        <w:t>, they are likely to be funded</w:t>
      </w:r>
      <w:r w:rsidR="00A84EB5" w:rsidRPr="00DF76E0">
        <w:rPr>
          <w:b/>
          <w:bCs/>
        </w:rPr>
        <w:t>. At this point, they will further develop the innovation by creating field test versions of the materials and procedures to be used in their studies. Next, validation research</w:t>
      </w:r>
      <w:r w:rsidRPr="00DF76E0">
        <w:rPr>
          <w:b/>
          <w:bCs/>
        </w:rPr>
        <w:t xml:space="preserve"> </w:t>
      </w:r>
      <w:r w:rsidR="00A84EB5" w:rsidRPr="00DF76E0">
        <w:rPr>
          <w:b/>
          <w:bCs/>
        </w:rPr>
        <w:t xml:space="preserve">will be conducted. </w:t>
      </w:r>
      <w:r w:rsidR="00510FF0" w:rsidRPr="00DF76E0">
        <w:rPr>
          <w:b/>
          <w:bCs/>
        </w:rPr>
        <w:t xml:space="preserve">If positive results are not produced, the innovation may need to be refined further and additional validation research conducted. </w:t>
      </w:r>
    </w:p>
    <w:p w14:paraId="03337703" w14:textId="77777777" w:rsidR="00AF1979" w:rsidRDefault="00062F66" w:rsidP="00810D04">
      <w:pPr>
        <w:widowControl w:val="0"/>
        <w:spacing w:line="480" w:lineRule="auto"/>
        <w:ind w:firstLine="720"/>
        <w:rPr>
          <w:b/>
          <w:bCs/>
        </w:rPr>
      </w:pPr>
      <w:r>
        <w:t>To follow the research-to-practice process a bit further, o</w:t>
      </w:r>
      <w:r w:rsidR="008E7EAD" w:rsidRPr="000B5D65">
        <w:t>nce successful</w:t>
      </w:r>
      <w:r w:rsidR="00B254BE" w:rsidRPr="000B5D65">
        <w:t xml:space="preserve"> outcomes have been produced with an intervention</w:t>
      </w:r>
      <w:r w:rsidR="008E7EAD" w:rsidRPr="000B5D65">
        <w:t xml:space="preserve"> through</w:t>
      </w:r>
      <w:r w:rsidR="00F87CAA" w:rsidRPr="000B5D65">
        <w:t xml:space="preserve"> rigorous</w:t>
      </w:r>
      <w:r w:rsidR="00B254BE" w:rsidRPr="000B5D65">
        <w:t xml:space="preserve"> research, </w:t>
      </w:r>
      <w:r w:rsidR="00F87CAA" w:rsidRPr="000B5D65">
        <w:t>the next step</w:t>
      </w:r>
      <w:r>
        <w:t xml:space="preserve"> (see Figure 1)</w:t>
      </w:r>
      <w:r w:rsidR="00F87CAA" w:rsidRPr="000B5D65">
        <w:t xml:space="preserve"> in making it available to the education field is to </w:t>
      </w:r>
      <w:r w:rsidR="00F87CAA" w:rsidRPr="00DF76E0">
        <w:rPr>
          <w:b/>
          <w:bCs/>
        </w:rPr>
        <w:t xml:space="preserve">create </w:t>
      </w:r>
      <w:r w:rsidR="00510FF0" w:rsidRPr="00DF76E0">
        <w:rPr>
          <w:b/>
          <w:bCs/>
        </w:rPr>
        <w:t xml:space="preserve">polished </w:t>
      </w:r>
      <w:r w:rsidR="00F87CAA" w:rsidRPr="00DF76E0">
        <w:rPr>
          <w:b/>
          <w:bCs/>
        </w:rPr>
        <w:t>materials</w:t>
      </w:r>
      <w:r w:rsidR="009D4F63" w:rsidRPr="00DF76E0">
        <w:rPr>
          <w:b/>
          <w:bCs/>
        </w:rPr>
        <w:t xml:space="preserve"> </w:t>
      </w:r>
      <w:r w:rsidR="00E66268" w:rsidRPr="00DF76E0">
        <w:rPr>
          <w:b/>
          <w:bCs/>
        </w:rPr>
        <w:t xml:space="preserve">that can be used </w:t>
      </w:r>
      <w:r w:rsidR="00DC1B52" w:rsidRPr="00DF76E0">
        <w:rPr>
          <w:b/>
          <w:bCs/>
        </w:rPr>
        <w:t xml:space="preserve">in </w:t>
      </w:r>
      <w:r w:rsidR="00510FF0" w:rsidRPr="00DF76E0">
        <w:rPr>
          <w:b/>
          <w:bCs/>
        </w:rPr>
        <w:t>classrooms (e.g., instructor’s manuals, visual aids, student learning sheets, assessments, progress monitoring tools). Additionally, materials will need to be prepared for</w:t>
      </w:r>
    </w:p>
    <w:p w14:paraId="2F68F6FD" w14:textId="28E3C8B3" w:rsidR="00AF1979" w:rsidRPr="00AF1979" w:rsidRDefault="00AF1979" w:rsidP="00AF1979">
      <w:pPr>
        <w:widowControl w:val="0"/>
        <w:spacing w:line="480" w:lineRule="auto"/>
        <w:jc w:val="center"/>
      </w:pPr>
      <w:r w:rsidRPr="00AF1979">
        <w:lastRenderedPageBreak/>
        <w:t>Insert Figure 1 about here</w:t>
      </w:r>
    </w:p>
    <w:p w14:paraId="51F1B58A" w14:textId="68696C34" w:rsidR="00CF6638" w:rsidRPr="000B5D65" w:rsidRDefault="00510FF0" w:rsidP="00AF1979">
      <w:pPr>
        <w:widowControl w:val="0"/>
        <w:spacing w:line="480" w:lineRule="auto"/>
      </w:pPr>
      <w:r w:rsidRPr="00DF76E0">
        <w:rPr>
          <w:b/>
          <w:bCs/>
        </w:rPr>
        <w:t xml:space="preserve"> </w:t>
      </w:r>
      <w:r w:rsidR="00DC1B52" w:rsidRPr="00DF76E0">
        <w:rPr>
          <w:b/>
          <w:bCs/>
        </w:rPr>
        <w:t xml:space="preserve">professional development sessions </w:t>
      </w:r>
      <w:r w:rsidR="00E66268" w:rsidRPr="00DF76E0">
        <w:rPr>
          <w:b/>
          <w:bCs/>
        </w:rPr>
        <w:t>to educate</w:t>
      </w:r>
      <w:r w:rsidR="00F87CAA" w:rsidRPr="00DF76E0">
        <w:rPr>
          <w:b/>
          <w:bCs/>
        </w:rPr>
        <w:t xml:space="preserve"> teachers and administrators about the intervention</w:t>
      </w:r>
      <w:r w:rsidR="00CE7924" w:rsidRPr="00DF76E0">
        <w:rPr>
          <w:b/>
          <w:bCs/>
        </w:rPr>
        <w:t xml:space="preserve"> (State et al., 2019)</w:t>
      </w:r>
      <w:r w:rsidR="00F87CAA" w:rsidRPr="00DF76E0">
        <w:rPr>
          <w:b/>
          <w:bCs/>
        </w:rPr>
        <w:t>. This process can involve the creation of</w:t>
      </w:r>
      <w:r w:rsidR="00F87CAA" w:rsidRPr="000B5D65">
        <w:t xml:space="preserve"> presentations, pr</w:t>
      </w:r>
      <w:r w:rsidR="009D4F63" w:rsidRPr="000B5D65">
        <w:t>actice materials, visual aids, an</w:t>
      </w:r>
      <w:r w:rsidR="00F87CAA" w:rsidRPr="000B5D65">
        <w:t xml:space="preserve">d other materials that can be used in communicating to the field about the intervention. </w:t>
      </w:r>
      <w:r w:rsidR="009D4F63" w:rsidRPr="000B5D65">
        <w:t xml:space="preserve">It can also involve creating procedures for working with teachers wanting to learn the new methods. </w:t>
      </w:r>
      <w:r w:rsidR="00062F66">
        <w:t xml:space="preserve">Further, </w:t>
      </w:r>
      <w:r w:rsidR="00062F66" w:rsidRPr="00DF76E0">
        <w:rPr>
          <w:b/>
          <w:bCs/>
        </w:rPr>
        <w:t xml:space="preserve">it can involve training </w:t>
      </w:r>
      <w:r w:rsidR="00DC1B52" w:rsidRPr="00DF76E0">
        <w:rPr>
          <w:b/>
          <w:bCs/>
        </w:rPr>
        <w:t>leaders</w:t>
      </w:r>
      <w:r w:rsidR="00062F66">
        <w:t xml:space="preserve"> in teacher-training institutions, state departments, and school districts to provide professional development. </w:t>
      </w:r>
      <w:r w:rsidR="00F87CAA" w:rsidRPr="000B5D65">
        <w:t xml:space="preserve">These </w:t>
      </w:r>
      <w:r w:rsidR="009D4F63" w:rsidRPr="000B5D65">
        <w:t>efforts need to be done</w:t>
      </w:r>
      <w:r w:rsidR="00F87CAA" w:rsidRPr="000B5D65">
        <w:t xml:space="preserve"> with a high level of respect for what the education field demands in terms </w:t>
      </w:r>
      <w:r w:rsidR="008171B2" w:rsidRPr="000B5D65">
        <w:t xml:space="preserve">of </w:t>
      </w:r>
      <w:r w:rsidR="009D4F63" w:rsidRPr="000B5D65">
        <w:t>prof</w:t>
      </w:r>
      <w:r w:rsidR="008171B2" w:rsidRPr="000B5D65">
        <w:t xml:space="preserve">essionalism, robustness, </w:t>
      </w:r>
      <w:r w:rsidR="00E66268" w:rsidRPr="000B5D65">
        <w:t xml:space="preserve">rigor, </w:t>
      </w:r>
      <w:r w:rsidR="008171B2" w:rsidRPr="000B5D65">
        <w:t>and fidelity</w:t>
      </w:r>
      <w:r w:rsidR="00CE7924">
        <w:t xml:space="preserve"> (</w:t>
      </w:r>
      <w:r w:rsidR="00CE7924" w:rsidRPr="003D1869">
        <w:rPr>
          <w:b/>
          <w:bCs/>
        </w:rPr>
        <w:t>State et al., 2019</w:t>
      </w:r>
      <w:r w:rsidR="00CE7924">
        <w:t>)</w:t>
      </w:r>
      <w:r w:rsidR="008171B2" w:rsidRPr="000B5D65">
        <w:t>. In other words</w:t>
      </w:r>
      <w:r w:rsidR="009D4F63" w:rsidRPr="000B5D65">
        <w:t>, the</w:t>
      </w:r>
      <w:r w:rsidR="00F87CAA" w:rsidRPr="000B5D65">
        <w:t xml:space="preserve"> materials</w:t>
      </w:r>
      <w:r w:rsidR="00062F66">
        <w:t xml:space="preserve"> and products related to the research</w:t>
      </w:r>
      <w:r w:rsidR="00F87CAA" w:rsidRPr="000B5D65">
        <w:t xml:space="preserve"> need to be </w:t>
      </w:r>
      <w:r w:rsidR="00062F66">
        <w:t>disseminated to the field</w:t>
      </w:r>
      <w:r w:rsidR="00F87CAA" w:rsidRPr="000B5D65">
        <w:t xml:space="preserve"> </w:t>
      </w:r>
      <w:r w:rsidR="00062F66">
        <w:t xml:space="preserve">and to other professionals </w:t>
      </w:r>
      <w:r w:rsidR="00900F91">
        <w:t>in a way that determines whether</w:t>
      </w:r>
      <w:r w:rsidR="00F87CAA" w:rsidRPr="000B5D65">
        <w:t xml:space="preserve"> they </w:t>
      </w:r>
      <w:r w:rsidR="00062F66">
        <w:t>are acceptable to the field. If not, the materials, products, and training methods will need to be revised to become acceptable. Through a cyclical process, the field can provide feedback to the developers</w:t>
      </w:r>
      <w:r w:rsidR="00900F91">
        <w:t xml:space="preserve"> of the materials</w:t>
      </w:r>
      <w:r w:rsidR="00062F66">
        <w:t xml:space="preserve">, and revisions can be made to </w:t>
      </w:r>
      <w:r w:rsidR="00CE7924">
        <w:t>produce a more successful</w:t>
      </w:r>
      <w:r w:rsidR="00062F66">
        <w:t xml:space="preserve"> dissemination </w:t>
      </w:r>
      <w:r w:rsidR="00CE7924">
        <w:t>effort</w:t>
      </w:r>
      <w:r w:rsidR="00062F66">
        <w:t xml:space="preserve">. </w:t>
      </w:r>
    </w:p>
    <w:p w14:paraId="01EB3FDF" w14:textId="4B6BA67F" w:rsidR="009D4F63" w:rsidRPr="000B5D65" w:rsidRDefault="00F87CAA" w:rsidP="00810D04">
      <w:pPr>
        <w:widowControl w:val="0"/>
        <w:spacing w:line="480" w:lineRule="auto"/>
        <w:ind w:firstLine="720"/>
      </w:pPr>
      <w:r w:rsidRPr="000B5D65">
        <w:t>Finally, once the materials</w:t>
      </w:r>
      <w:r w:rsidR="00062F66">
        <w:t>, products, and training methods</w:t>
      </w:r>
      <w:r w:rsidRPr="000B5D65">
        <w:t xml:space="preserve"> hav</w:t>
      </w:r>
      <w:r w:rsidR="009D4F63" w:rsidRPr="000B5D65">
        <w:t xml:space="preserve">e been </w:t>
      </w:r>
      <w:r w:rsidR="00062F66">
        <w:t>found to be acceptable</w:t>
      </w:r>
      <w:r w:rsidR="009D4F63" w:rsidRPr="000B5D65">
        <w:t xml:space="preserve">, efforts need to focus on widespread adoption of the research-validated intervention. </w:t>
      </w:r>
      <w:r w:rsidR="00E27B0D" w:rsidRPr="000B5D65">
        <w:t xml:space="preserve">This is probably the most problematic part of the research-to-practice sequence because of </w:t>
      </w:r>
      <w:r w:rsidR="00056359" w:rsidRPr="000B5D65">
        <w:t xml:space="preserve">the </w:t>
      </w:r>
      <w:r w:rsidR="00E27B0D" w:rsidRPr="000B5D65">
        <w:t>challenges associated with scaling-up efforts</w:t>
      </w:r>
      <w:r w:rsidR="00CE7924">
        <w:t xml:space="preserve"> (</w:t>
      </w:r>
      <w:r w:rsidR="00CE7924" w:rsidRPr="003D1869">
        <w:rPr>
          <w:b/>
          <w:bCs/>
        </w:rPr>
        <w:t>State et al., 2019</w:t>
      </w:r>
      <w:r w:rsidR="00CE7924">
        <w:t>)</w:t>
      </w:r>
      <w:r w:rsidR="00E27B0D" w:rsidRPr="000B5D65">
        <w:t xml:space="preserve">. One </w:t>
      </w:r>
      <w:r w:rsidR="00CE7924">
        <w:t>possible challenging factor</w:t>
      </w:r>
      <w:r w:rsidR="00E27B0D" w:rsidRPr="000B5D65">
        <w:t xml:space="preserve"> is that the education field is fragmented; </w:t>
      </w:r>
      <w:r w:rsidR="004954E0" w:rsidRPr="000B5D65">
        <w:t>educators</w:t>
      </w:r>
      <w:r w:rsidR="00F77D37" w:rsidRPr="000B5D65">
        <w:t xml:space="preserve"> in </w:t>
      </w:r>
      <w:r w:rsidR="00E27B0D" w:rsidRPr="000B5D65">
        <w:t xml:space="preserve">different states, different districts, and different schools like to make their own decisions. Another </w:t>
      </w:r>
      <w:r w:rsidR="00CE7924">
        <w:t>factor</w:t>
      </w:r>
      <w:r w:rsidR="00E27B0D" w:rsidRPr="000B5D65">
        <w:t xml:space="preserve"> is </w:t>
      </w:r>
      <w:r w:rsidR="00C877E5" w:rsidRPr="000B5D65">
        <w:t>that</w:t>
      </w:r>
      <w:r w:rsidR="008171B2" w:rsidRPr="000B5D65">
        <w:t>, for the most part,</w:t>
      </w:r>
      <w:r w:rsidR="00C877E5" w:rsidRPr="000B5D65">
        <w:t xml:space="preserve"> individual teachers hold </w:t>
      </w:r>
      <w:r w:rsidR="00F77D37" w:rsidRPr="000B5D65">
        <w:t xml:space="preserve">individual authority </w:t>
      </w:r>
      <w:r w:rsidR="00C877E5" w:rsidRPr="000B5D65">
        <w:t>with regard to choosing</w:t>
      </w:r>
      <w:r w:rsidR="00F77D37" w:rsidRPr="000B5D65">
        <w:t xml:space="preserve"> what they do</w:t>
      </w:r>
      <w:r w:rsidR="00C877E5" w:rsidRPr="000B5D65">
        <w:t xml:space="preserve"> and the methods and materials they use</w:t>
      </w:r>
      <w:r w:rsidR="00F77D37" w:rsidRPr="000B5D65">
        <w:t xml:space="preserve"> in their own classrooms, especially at the secondary level. A further </w:t>
      </w:r>
      <w:r w:rsidR="00CE7924">
        <w:t>factor</w:t>
      </w:r>
      <w:r w:rsidR="00F77D37" w:rsidRPr="000B5D65">
        <w:t xml:space="preserve"> is that teacher-training institutions are not likely to teach teachers to use</w:t>
      </w:r>
      <w:r w:rsidR="008171B2" w:rsidRPr="000B5D65">
        <w:t xml:space="preserve"> specific</w:t>
      </w:r>
      <w:r w:rsidR="00C877E5" w:rsidRPr="000B5D65">
        <w:t xml:space="preserve"> methods and procedures;</w:t>
      </w:r>
      <w:r w:rsidR="00F77D37" w:rsidRPr="000B5D65">
        <w:t xml:space="preserve"> instead</w:t>
      </w:r>
      <w:r w:rsidR="00C877E5" w:rsidRPr="000B5D65">
        <w:t>, they choose</w:t>
      </w:r>
      <w:r w:rsidR="00F77D37" w:rsidRPr="000B5D65">
        <w:t xml:space="preserve"> to give teachers a broad background in educational </w:t>
      </w:r>
      <w:r w:rsidR="00F77D37" w:rsidRPr="000B5D65">
        <w:lastRenderedPageBreak/>
        <w:t>theory and history</w:t>
      </w:r>
      <w:r w:rsidR="00C877E5" w:rsidRPr="000B5D65">
        <w:t xml:space="preserve"> so that teachers can make good</w:t>
      </w:r>
      <w:r w:rsidR="001E448B" w:rsidRPr="000B5D65">
        <w:t xml:space="preserve"> decisions once they begin</w:t>
      </w:r>
      <w:r w:rsidR="00C877E5" w:rsidRPr="000B5D65">
        <w:t xml:space="preserve"> work in the schools</w:t>
      </w:r>
      <w:r w:rsidR="00F77D37" w:rsidRPr="000B5D65">
        <w:t xml:space="preserve">. </w:t>
      </w:r>
    </w:p>
    <w:p w14:paraId="56E22A7A" w14:textId="09A59682" w:rsidR="00B35F86" w:rsidRPr="000B5D65" w:rsidRDefault="00F77D37" w:rsidP="00810D04">
      <w:pPr>
        <w:widowControl w:val="0"/>
        <w:spacing w:line="480" w:lineRule="auto"/>
        <w:ind w:firstLine="720"/>
      </w:pPr>
      <w:r w:rsidRPr="000B5D65">
        <w:t xml:space="preserve">Thus, the road from research </w:t>
      </w:r>
      <w:r w:rsidR="004954E0" w:rsidRPr="000B5D65">
        <w:t xml:space="preserve">to practice is </w:t>
      </w:r>
      <w:r w:rsidR="006105A4" w:rsidRPr="000B5D65">
        <w:t xml:space="preserve">certainly </w:t>
      </w:r>
      <w:r w:rsidR="00062F66">
        <w:t>challenging</w:t>
      </w:r>
      <w:r w:rsidRPr="000B5D65">
        <w:t xml:space="preserve">. </w:t>
      </w:r>
      <w:r w:rsidR="00B35F86" w:rsidRPr="000B5D65">
        <w:t>Clearly</w:t>
      </w:r>
      <w:r w:rsidR="00C877E5" w:rsidRPr="000B5D65">
        <w:t>, conducting well-designed</w:t>
      </w:r>
      <w:r w:rsidRPr="000B5D65">
        <w:t xml:space="preserve"> research</w:t>
      </w:r>
      <w:r w:rsidR="00211A3C" w:rsidRPr="000B5D65">
        <w:t xml:space="preserve"> studies</w:t>
      </w:r>
      <w:r w:rsidRPr="000B5D65">
        <w:t xml:space="preserve"> </w:t>
      </w:r>
      <w:r w:rsidR="00B35F86" w:rsidRPr="000B5D65">
        <w:t xml:space="preserve">that yield </w:t>
      </w:r>
      <w:r w:rsidR="00E66268" w:rsidRPr="000B5D65">
        <w:t xml:space="preserve">desired outcomes </w:t>
      </w:r>
      <w:r w:rsidRPr="000B5D65">
        <w:t>is difficu</w:t>
      </w:r>
      <w:r w:rsidR="003877D7" w:rsidRPr="000B5D65">
        <w:t>lt</w:t>
      </w:r>
      <w:r w:rsidR="00211A3C" w:rsidRPr="000B5D65">
        <w:t>, especially in today’s schools</w:t>
      </w:r>
      <w:r w:rsidR="00B35F86" w:rsidRPr="000B5D65">
        <w:t xml:space="preserve"> where administrators are under pressure to ensure students meet standards</w:t>
      </w:r>
      <w:r w:rsidR="00B94616">
        <w:t xml:space="preserve"> and do not wish to risk student time with unproven methods and materials</w:t>
      </w:r>
      <w:r w:rsidR="00CE7924">
        <w:t xml:space="preserve"> (</w:t>
      </w:r>
      <w:r w:rsidR="00CE7924" w:rsidRPr="003D1869">
        <w:rPr>
          <w:b/>
          <w:bCs/>
        </w:rPr>
        <w:t xml:space="preserve">Powell &amp; </w:t>
      </w:r>
      <w:proofErr w:type="spellStart"/>
      <w:r w:rsidR="00CE7924" w:rsidRPr="003D1869">
        <w:rPr>
          <w:b/>
          <w:bCs/>
        </w:rPr>
        <w:t>Bodur</w:t>
      </w:r>
      <w:proofErr w:type="spellEnd"/>
      <w:r w:rsidR="00CE7924" w:rsidRPr="003D1869">
        <w:rPr>
          <w:b/>
          <w:bCs/>
        </w:rPr>
        <w:t>, 2019</w:t>
      </w:r>
      <w:r w:rsidR="00CE7924">
        <w:t>)</w:t>
      </w:r>
      <w:r w:rsidR="003877D7" w:rsidRPr="000B5D65">
        <w:t xml:space="preserve">. Second, </w:t>
      </w:r>
      <w:r w:rsidR="00062F66">
        <w:t>producing</w:t>
      </w:r>
      <w:r w:rsidRPr="000B5D65">
        <w:t xml:space="preserve"> professional materials and procedures for successfully instructing teachers</w:t>
      </w:r>
      <w:r w:rsidR="003877D7" w:rsidRPr="000B5D65">
        <w:t xml:space="preserve"> in a way that teachers like and</w:t>
      </w:r>
      <w:r w:rsidR="00211A3C" w:rsidRPr="000B5D65">
        <w:t xml:space="preserve"> that also</w:t>
      </w:r>
      <w:r w:rsidR="003877D7" w:rsidRPr="000B5D65">
        <w:t xml:space="preserve"> produce</w:t>
      </w:r>
      <w:r w:rsidR="00211A3C" w:rsidRPr="000B5D65">
        <w:t>s</w:t>
      </w:r>
      <w:r w:rsidR="003877D7" w:rsidRPr="000B5D65">
        <w:t xml:space="preserve"> change in their teaching practices</w:t>
      </w:r>
      <w:r w:rsidR="00062F66">
        <w:t xml:space="preserve"> in classrooms</w:t>
      </w:r>
      <w:r w:rsidR="003877D7" w:rsidRPr="000B5D65">
        <w:t xml:space="preserve"> is </w:t>
      </w:r>
      <w:r w:rsidR="00062F66">
        <w:t xml:space="preserve">something that researchers are </w:t>
      </w:r>
      <w:r w:rsidR="00B94616">
        <w:t xml:space="preserve">typically </w:t>
      </w:r>
      <w:r w:rsidR="00062F66">
        <w:t>not trained to do</w:t>
      </w:r>
      <w:r w:rsidR="00CF4CDD">
        <w:t xml:space="preserve"> (</w:t>
      </w:r>
      <w:r w:rsidR="00CF4CDD" w:rsidRPr="003D1869">
        <w:rPr>
          <w:b/>
          <w:bCs/>
        </w:rPr>
        <w:t>Cook et al</w:t>
      </w:r>
      <w:r w:rsidR="00DC7C94">
        <w:rPr>
          <w:b/>
          <w:bCs/>
        </w:rPr>
        <w:t>.</w:t>
      </w:r>
      <w:r w:rsidR="00CF4CDD" w:rsidRPr="003D1869">
        <w:rPr>
          <w:b/>
          <w:bCs/>
        </w:rPr>
        <w:t>, 2013</w:t>
      </w:r>
      <w:r w:rsidR="00CF4CDD">
        <w:t>)</w:t>
      </w:r>
      <w:r w:rsidR="003877D7" w:rsidRPr="000B5D65">
        <w:t>. Finally,</w:t>
      </w:r>
      <w:r w:rsidRPr="000B5D65">
        <w:t xml:space="preserve"> ensuring that the</w:t>
      </w:r>
      <w:r w:rsidR="002034E8" w:rsidRPr="000B5D65">
        <w:t xml:space="preserve"> personnel,</w:t>
      </w:r>
      <w:r w:rsidRPr="000B5D65">
        <w:t xml:space="preserve"> materials</w:t>
      </w:r>
      <w:r w:rsidR="002034E8" w:rsidRPr="000B5D65">
        <w:t>,</w:t>
      </w:r>
      <w:r w:rsidRPr="000B5D65">
        <w:t xml:space="preserve"> and procedures are in place for large</w:t>
      </w:r>
      <w:r w:rsidR="00B94616">
        <w:t xml:space="preserve"> national</w:t>
      </w:r>
      <w:r w:rsidRPr="000B5D65">
        <w:t xml:space="preserve"> scaling-up eff</w:t>
      </w:r>
      <w:r w:rsidR="003877D7" w:rsidRPr="000B5D65">
        <w:t>orts is very difficult</w:t>
      </w:r>
      <w:r w:rsidR="002034E8" w:rsidRPr="000B5D65">
        <w:t>, indeed</w:t>
      </w:r>
      <w:r w:rsidR="00CF4CDD">
        <w:t xml:space="preserve"> (</w:t>
      </w:r>
      <w:proofErr w:type="spellStart"/>
      <w:r w:rsidR="00CF4CDD" w:rsidRPr="00DC7C94">
        <w:rPr>
          <w:b/>
          <w:bCs/>
        </w:rPr>
        <w:t>Slavin</w:t>
      </w:r>
      <w:proofErr w:type="spellEnd"/>
      <w:r w:rsidR="00CF4CDD" w:rsidRPr="00DC7C94">
        <w:rPr>
          <w:b/>
          <w:bCs/>
        </w:rPr>
        <w:t>, 2020</w:t>
      </w:r>
      <w:r w:rsidR="00CF4CDD">
        <w:t>)</w:t>
      </w:r>
      <w:r w:rsidR="002034E8" w:rsidRPr="000B5D65">
        <w:t xml:space="preserve">. </w:t>
      </w:r>
      <w:r w:rsidR="00B35F86" w:rsidRPr="000B5D65">
        <w:t xml:space="preserve">All of these endeavors require substantial </w:t>
      </w:r>
      <w:r w:rsidR="00900F91">
        <w:t xml:space="preserve">effort, </w:t>
      </w:r>
      <w:r w:rsidR="00B35F86" w:rsidRPr="000B5D65">
        <w:t>funding</w:t>
      </w:r>
      <w:r w:rsidR="00900F91">
        <w:t>,</w:t>
      </w:r>
      <w:r w:rsidR="00B35F86" w:rsidRPr="000B5D65">
        <w:t xml:space="preserve"> and years of work. </w:t>
      </w:r>
    </w:p>
    <w:p w14:paraId="41BD32BD" w14:textId="0483BF96" w:rsidR="00B94616" w:rsidRDefault="002034E8" w:rsidP="00810D04">
      <w:pPr>
        <w:widowControl w:val="0"/>
        <w:spacing w:line="480" w:lineRule="auto"/>
        <w:ind w:firstLine="720"/>
      </w:pPr>
      <w:r w:rsidRPr="000B5D65">
        <w:t>Nevertheless, numerous</w:t>
      </w:r>
      <w:r w:rsidR="003877D7" w:rsidRPr="000B5D65">
        <w:t xml:space="preserve"> educators have </w:t>
      </w:r>
      <w:r w:rsidRPr="000B5D65">
        <w:t>embarked on the</w:t>
      </w:r>
      <w:r w:rsidR="00900F91">
        <w:t xml:space="preserve"> research-to-practice</w:t>
      </w:r>
      <w:r w:rsidRPr="000B5D65">
        <w:t xml:space="preserve"> journey</w:t>
      </w:r>
      <w:r w:rsidR="00056359" w:rsidRPr="000B5D65">
        <w:t xml:space="preserve"> and</w:t>
      </w:r>
      <w:r w:rsidR="00B94616">
        <w:t xml:space="preserve"> some</w:t>
      </w:r>
      <w:r w:rsidR="0070174A" w:rsidRPr="000B5D65">
        <w:t xml:space="preserve"> have succeeded</w:t>
      </w:r>
      <w:r w:rsidR="00B94616">
        <w:t xml:space="preserve">. </w:t>
      </w:r>
      <w:r w:rsidR="003877D7" w:rsidRPr="000B5D65">
        <w:t>One team of developers</w:t>
      </w:r>
      <w:r w:rsidRPr="000B5D65">
        <w:t xml:space="preserve"> that has </w:t>
      </w:r>
      <w:r w:rsidR="00056359" w:rsidRPr="000B5D65">
        <w:t>seriously taken</w:t>
      </w:r>
      <w:r w:rsidR="00121586" w:rsidRPr="000B5D65">
        <w:t xml:space="preserve"> on the journey </w:t>
      </w:r>
      <w:r w:rsidRPr="000B5D65">
        <w:t xml:space="preserve">is a team associated with the </w:t>
      </w:r>
      <w:r w:rsidR="00470263">
        <w:t xml:space="preserve">University of Kansas Center for Research on Learning </w:t>
      </w:r>
      <w:r w:rsidR="00900F91">
        <w:t>and</w:t>
      </w:r>
      <w:r w:rsidR="00470263">
        <w:t xml:space="preserve"> Edge Enterprises, Inc</w:t>
      </w:r>
      <w:r w:rsidR="00037A7E" w:rsidRPr="000B5D65">
        <w:t xml:space="preserve">. </w:t>
      </w:r>
      <w:r w:rsidR="00062F66">
        <w:t xml:space="preserve">Their journey can serve as one example of a programmatic progression from research to practice. </w:t>
      </w:r>
      <w:r w:rsidRPr="000B5D65">
        <w:t xml:space="preserve">This </w:t>
      </w:r>
      <w:r w:rsidR="00E0137E" w:rsidRPr="000B5D65">
        <w:t xml:space="preserve">article </w:t>
      </w:r>
      <w:r w:rsidR="00062F66">
        <w:t xml:space="preserve">chronicles the beginning stages of their journey. </w:t>
      </w:r>
    </w:p>
    <w:p w14:paraId="73919022" w14:textId="322E5A45" w:rsidR="00864A6D" w:rsidRPr="000B5D65" w:rsidRDefault="00B94616" w:rsidP="00810D04">
      <w:pPr>
        <w:widowControl w:val="0"/>
        <w:spacing w:line="480" w:lineRule="auto"/>
        <w:ind w:firstLine="720"/>
      </w:pPr>
      <w:r>
        <w:t xml:space="preserve">Their story begins </w:t>
      </w:r>
      <w:r w:rsidR="00062F66">
        <w:t>in the early 1980s</w:t>
      </w:r>
      <w:r>
        <w:t xml:space="preserve"> when they</w:t>
      </w:r>
      <w:r w:rsidR="00062F66">
        <w:t xml:space="preserve"> had been focusing on the development and validation of instructional methods for secondary students with learning disabilities (LD) </w:t>
      </w:r>
      <w:r w:rsidR="00A03249">
        <w:t xml:space="preserve">placed </w:t>
      </w:r>
      <w:r w:rsidR="00062F66">
        <w:t xml:space="preserve">in resource rooms. The results of their research had yielded the Strategic Instruction Model </w:t>
      </w:r>
      <w:r w:rsidR="00062F66" w:rsidRPr="00A03249">
        <w:t>(Deshler &amp; Schumaker, 19</w:t>
      </w:r>
      <w:r w:rsidR="00A03249" w:rsidRPr="00A03249">
        <w:t>88</w:t>
      </w:r>
      <w:r w:rsidR="00A03249">
        <w:t>; Hock et al., 2017</w:t>
      </w:r>
      <w:r w:rsidR="00062F66" w:rsidRPr="00A03249">
        <w:t xml:space="preserve">) and the </w:t>
      </w:r>
      <w:r w:rsidR="00062F66" w:rsidRPr="00A03249">
        <w:rPr>
          <w:i/>
          <w:iCs/>
        </w:rPr>
        <w:t>Learning Strategies Curriculum</w:t>
      </w:r>
      <w:r w:rsidRPr="00A03249">
        <w:rPr>
          <w:i/>
          <w:iCs/>
        </w:rPr>
        <w:t xml:space="preserve"> </w:t>
      </w:r>
      <w:r w:rsidRPr="00A03249">
        <w:t>(e.g.,</w:t>
      </w:r>
      <w:r w:rsidR="00602463" w:rsidRPr="00A03249">
        <w:t xml:space="preserve"> Deshler &amp; Schumaker, 1986</w:t>
      </w:r>
      <w:r w:rsidRPr="00A03249">
        <w:t>).</w:t>
      </w:r>
      <w:r>
        <w:t xml:space="preserve"> </w:t>
      </w:r>
      <w:r w:rsidR="00EA69B4" w:rsidRPr="000B5D65">
        <w:t>In 1985, spurred on</w:t>
      </w:r>
      <w:r w:rsidR="0070174A" w:rsidRPr="000B5D65">
        <w:t xml:space="preserve"> by the</w:t>
      </w:r>
      <w:r>
        <w:t xml:space="preserve"> national</w:t>
      </w:r>
      <w:r w:rsidR="0070174A" w:rsidRPr="000B5D65">
        <w:t xml:space="preserve"> inclusion movement</w:t>
      </w:r>
      <w:r>
        <w:t xml:space="preserve"> </w:t>
      </w:r>
      <w:r w:rsidR="00CF4CDD">
        <w:rPr>
          <w:color w:val="000000" w:themeColor="text1"/>
        </w:rPr>
        <w:t>(</w:t>
      </w:r>
      <w:r w:rsidR="00CF4CDD" w:rsidRPr="00DC7C94">
        <w:rPr>
          <w:b/>
          <w:bCs/>
          <w:color w:val="000000" w:themeColor="text1"/>
        </w:rPr>
        <w:t xml:space="preserve">Carlberg &amp; </w:t>
      </w:r>
      <w:proofErr w:type="spellStart"/>
      <w:r w:rsidR="00CF4CDD" w:rsidRPr="00DC7C94">
        <w:rPr>
          <w:b/>
          <w:bCs/>
          <w:color w:val="000000" w:themeColor="text1"/>
        </w:rPr>
        <w:t>Kavale</w:t>
      </w:r>
      <w:proofErr w:type="spellEnd"/>
      <w:r w:rsidR="00CF4CDD" w:rsidRPr="00DC7C94">
        <w:rPr>
          <w:b/>
          <w:bCs/>
          <w:color w:val="000000" w:themeColor="text1"/>
        </w:rPr>
        <w:t xml:space="preserve">, 1980; Gartner &amp; Lipsky, 1987; </w:t>
      </w:r>
      <w:proofErr w:type="spellStart"/>
      <w:r w:rsidR="00CF4CDD" w:rsidRPr="00DC7C94">
        <w:rPr>
          <w:b/>
          <w:bCs/>
          <w:color w:val="000000" w:themeColor="text1"/>
        </w:rPr>
        <w:t>Stainback</w:t>
      </w:r>
      <w:proofErr w:type="spellEnd"/>
      <w:r w:rsidR="00CF4CDD" w:rsidRPr="00DC7C94">
        <w:rPr>
          <w:b/>
          <w:bCs/>
          <w:color w:val="000000" w:themeColor="text1"/>
        </w:rPr>
        <w:t xml:space="preserve"> &amp; </w:t>
      </w:r>
      <w:proofErr w:type="spellStart"/>
      <w:r w:rsidR="00CF4CDD" w:rsidRPr="00DC7C94">
        <w:rPr>
          <w:b/>
          <w:bCs/>
          <w:color w:val="000000" w:themeColor="text1"/>
        </w:rPr>
        <w:t>Stainback</w:t>
      </w:r>
      <w:proofErr w:type="spellEnd"/>
      <w:r w:rsidR="00CF4CDD" w:rsidRPr="00DC7C94">
        <w:rPr>
          <w:b/>
          <w:bCs/>
          <w:color w:val="000000" w:themeColor="text1"/>
        </w:rPr>
        <w:t>, 1984</w:t>
      </w:r>
      <w:r w:rsidRPr="00CF4CDD">
        <w:rPr>
          <w:color w:val="000000" w:themeColor="text1"/>
        </w:rPr>
        <w:t>)</w:t>
      </w:r>
      <w:r w:rsidR="0070174A" w:rsidRPr="00CF4CDD">
        <w:rPr>
          <w:color w:val="000000" w:themeColor="text1"/>
        </w:rPr>
        <w:t>,</w:t>
      </w:r>
      <w:r w:rsidR="0070174A" w:rsidRPr="00CF4CDD">
        <w:rPr>
          <w:color w:val="FF0000"/>
        </w:rPr>
        <w:t xml:space="preserve"> </w:t>
      </w:r>
      <w:r w:rsidR="00062F66">
        <w:t xml:space="preserve">the education field </w:t>
      </w:r>
      <w:r>
        <w:t xml:space="preserve">had </w:t>
      </w:r>
      <w:r w:rsidR="00062F66">
        <w:t>beg</w:t>
      </w:r>
      <w:r>
        <w:t>u</w:t>
      </w:r>
      <w:r w:rsidR="00062F66">
        <w:t xml:space="preserve">n to demand that methods become available </w:t>
      </w:r>
      <w:r>
        <w:t xml:space="preserve">for mainstreaming students with disabilities in general education courses. Federal granting agencies quickly made funds </w:t>
      </w:r>
      <w:r w:rsidRPr="008B3A1A">
        <w:lastRenderedPageBreak/>
        <w:t>available for research in this area</w:t>
      </w:r>
      <w:r w:rsidR="00900F91" w:rsidRPr="008B3A1A">
        <w:t xml:space="preserve"> through requests for proposals.</w:t>
      </w:r>
      <w:r w:rsidRPr="008B3A1A">
        <w:t xml:space="preserve"> After applying for these funds, </w:t>
      </w:r>
      <w:r w:rsidR="0070174A" w:rsidRPr="008B3A1A">
        <w:t>the team</w:t>
      </w:r>
      <w:r w:rsidR="00EA69B4" w:rsidRPr="008B3A1A">
        <w:t xml:space="preserve"> received a grant </w:t>
      </w:r>
      <w:r w:rsidR="002B0951" w:rsidRPr="008B3A1A">
        <w:t>(</w:t>
      </w:r>
      <w:r w:rsidR="00576894" w:rsidRPr="008B3A1A">
        <w:t>Deshler</w:t>
      </w:r>
      <w:r w:rsidR="003334BE" w:rsidRPr="008B3A1A">
        <w:t xml:space="preserve"> </w:t>
      </w:r>
      <w:r w:rsidR="0053371C">
        <w:t>et al.</w:t>
      </w:r>
      <w:r w:rsidR="00037A7E" w:rsidRPr="008B3A1A">
        <w:t>, 198</w:t>
      </w:r>
      <w:r w:rsidR="003334BE" w:rsidRPr="008B3A1A">
        <w:t>4</w:t>
      </w:r>
      <w:r w:rsidR="00EA69B4" w:rsidRPr="008B3A1A">
        <w:t xml:space="preserve">) to develop teaching routines to be used in </w:t>
      </w:r>
      <w:r w:rsidRPr="008B3A1A">
        <w:t xml:space="preserve">general education </w:t>
      </w:r>
      <w:r w:rsidR="00EA69B4" w:rsidRPr="008B3A1A">
        <w:t xml:space="preserve">subject-area courses in which diverse classes of students (including </w:t>
      </w:r>
      <w:r w:rsidR="003334BE" w:rsidRPr="008B3A1A">
        <w:t>low-achieving students</w:t>
      </w:r>
      <w:r w:rsidR="00864A6D" w:rsidRPr="008B3A1A">
        <w:t>) are</w:t>
      </w:r>
      <w:r w:rsidR="00EA69B4" w:rsidRPr="008B3A1A">
        <w:t xml:space="preserve"> enrolled. The</w:t>
      </w:r>
      <w:r w:rsidRPr="008B3A1A">
        <w:t xml:space="preserve"> team was </w:t>
      </w:r>
      <w:r w:rsidR="00EA69B4" w:rsidRPr="008B3A1A">
        <w:t xml:space="preserve">again funded to continue the </w:t>
      </w:r>
      <w:r w:rsidR="00CF3259" w:rsidRPr="008B3A1A">
        <w:t xml:space="preserve">initial </w:t>
      </w:r>
      <w:r w:rsidR="00EA69B4" w:rsidRPr="008B3A1A">
        <w:t>work</w:t>
      </w:r>
      <w:r w:rsidR="008D4323" w:rsidRPr="008B3A1A">
        <w:t xml:space="preserve"> (</w:t>
      </w:r>
      <w:r w:rsidR="00576894" w:rsidRPr="008B3A1A">
        <w:t>Deshler &amp; Schumaker</w:t>
      </w:r>
      <w:r w:rsidR="008D4323" w:rsidRPr="008B3A1A">
        <w:t>,</w:t>
      </w:r>
      <w:r w:rsidR="00C641DF" w:rsidRPr="008B3A1A">
        <w:t xml:space="preserve"> 199</w:t>
      </w:r>
      <w:r w:rsidR="003334BE" w:rsidRPr="008B3A1A">
        <w:t>4</w:t>
      </w:r>
      <w:r w:rsidR="00C4221C" w:rsidRPr="008B3A1A">
        <w:t xml:space="preserve">; </w:t>
      </w:r>
      <w:r w:rsidR="00576894" w:rsidRPr="008B3A1A">
        <w:t>Schumaker &amp; Deshler</w:t>
      </w:r>
      <w:r w:rsidR="00C4221C" w:rsidRPr="008B3A1A">
        <w:t>,</w:t>
      </w:r>
      <w:r w:rsidR="008B3A1A" w:rsidRPr="008B3A1A">
        <w:t xml:space="preserve"> </w:t>
      </w:r>
      <w:r w:rsidR="002B678C" w:rsidRPr="008B3A1A">
        <w:t>198</w:t>
      </w:r>
      <w:r w:rsidR="003334BE" w:rsidRPr="008B3A1A">
        <w:t>8a, 1988b</w:t>
      </w:r>
      <w:r w:rsidR="00900F91" w:rsidRPr="008B3A1A">
        <w:t>,</w:t>
      </w:r>
      <w:r w:rsidR="00A229C6" w:rsidRPr="008B3A1A">
        <w:t xml:space="preserve"> </w:t>
      </w:r>
      <w:r w:rsidR="00C641DF" w:rsidRPr="008B3A1A">
        <w:t>199</w:t>
      </w:r>
      <w:r w:rsidR="003334BE" w:rsidRPr="008B3A1A">
        <w:t>0</w:t>
      </w:r>
      <w:r w:rsidR="008D4323" w:rsidRPr="008B3A1A">
        <w:t>)</w:t>
      </w:r>
      <w:r>
        <w:t xml:space="preserve"> </w:t>
      </w:r>
      <w:r w:rsidR="00CF4080" w:rsidRPr="000B5D65">
        <w:t xml:space="preserve">and </w:t>
      </w:r>
      <w:r w:rsidR="001F409A" w:rsidRPr="000B5D65">
        <w:t>later</w:t>
      </w:r>
      <w:r w:rsidR="00CF4080" w:rsidRPr="000B5D65">
        <w:t xml:space="preserve"> to </w:t>
      </w:r>
      <w:r>
        <w:t xml:space="preserve">develop materials and methods for </w:t>
      </w:r>
      <w:r w:rsidR="00900F91">
        <w:t xml:space="preserve">live </w:t>
      </w:r>
      <w:r w:rsidR="00CF4080" w:rsidRPr="000B5D65">
        <w:t>professional devel</w:t>
      </w:r>
      <w:r w:rsidR="00B315E5" w:rsidRPr="000B5D65">
        <w:t>opment (</w:t>
      </w:r>
      <w:r w:rsidR="00C641DF" w:rsidRPr="00265DD3">
        <w:t>Deshler &amp; Schumaker</w:t>
      </w:r>
      <w:r w:rsidR="003E7F16" w:rsidRPr="00265DD3">
        <w:t>, 199</w:t>
      </w:r>
      <w:r w:rsidR="00265DD3" w:rsidRPr="00265DD3">
        <w:t>1</w:t>
      </w:r>
      <w:r w:rsidR="003334BE">
        <w:t>, 1993</w:t>
      </w:r>
      <w:r w:rsidR="00CF4080" w:rsidRPr="000B5D65">
        <w:t>)</w:t>
      </w:r>
      <w:r w:rsidR="00EA69B4" w:rsidRPr="000B5D65">
        <w:t xml:space="preserve">. The resulting line of </w:t>
      </w:r>
      <w:r w:rsidR="00576894">
        <w:t xml:space="preserve">programmatic </w:t>
      </w:r>
      <w:r w:rsidR="00EA69B4" w:rsidRPr="000B5D65">
        <w:t xml:space="preserve">research has yielded a new </w:t>
      </w:r>
      <w:r w:rsidR="00344416" w:rsidRPr="000B5D65">
        <w:t>approach for</w:t>
      </w:r>
      <w:r w:rsidR="00EA69B4" w:rsidRPr="000B5D65">
        <w:t xml:space="preserve"> instructing students</w:t>
      </w:r>
      <w:r w:rsidR="00344416" w:rsidRPr="000B5D65">
        <w:t xml:space="preserve"> in inclusive subject-area courses</w:t>
      </w:r>
      <w:r w:rsidR="00EA69B4" w:rsidRPr="000B5D65">
        <w:t xml:space="preserve"> called the </w:t>
      </w:r>
      <w:r w:rsidR="00EA69B4" w:rsidRPr="000B5D65">
        <w:rPr>
          <w:i/>
        </w:rPr>
        <w:t>Con</w:t>
      </w:r>
      <w:r w:rsidR="00CF3259" w:rsidRPr="000B5D65">
        <w:rPr>
          <w:i/>
        </w:rPr>
        <w:t>tent Enhancement Approach</w:t>
      </w:r>
      <w:r w:rsidR="00CF3259" w:rsidRPr="000B5D65">
        <w:t xml:space="preserve"> (</w:t>
      </w:r>
      <w:r w:rsidR="00344416" w:rsidRPr="000B5D65">
        <w:t>Hock et al., 2017</w:t>
      </w:r>
      <w:r w:rsidR="006105A4" w:rsidRPr="000B5D65">
        <w:t xml:space="preserve">; </w:t>
      </w:r>
      <w:r w:rsidR="00C641DF">
        <w:t>Schumaker</w:t>
      </w:r>
      <w:r w:rsidR="006105A4" w:rsidRPr="000B5D65">
        <w:t xml:space="preserve"> et al., 1991,</w:t>
      </w:r>
      <w:r w:rsidR="00CF3259" w:rsidRPr="000B5D65">
        <w:t xml:space="preserve"> 2002; </w:t>
      </w:r>
      <w:r w:rsidR="00C641DF">
        <w:t>Schumaker &amp; Deshler</w:t>
      </w:r>
      <w:r w:rsidR="005221D4" w:rsidRPr="000B5D65">
        <w:t xml:space="preserve">, </w:t>
      </w:r>
      <w:r w:rsidR="00CF3259" w:rsidRPr="000B5D65">
        <w:t>2010</w:t>
      </w:r>
      <w:r w:rsidR="00EA69B4" w:rsidRPr="000B5D65">
        <w:t>)</w:t>
      </w:r>
      <w:r w:rsidR="00CF4080" w:rsidRPr="000B5D65">
        <w:t xml:space="preserve"> plus </w:t>
      </w:r>
      <w:r>
        <w:t>materials and methods for</w:t>
      </w:r>
      <w:r w:rsidR="00CF4080" w:rsidRPr="000B5D65">
        <w:t xml:space="preserve"> providing </w:t>
      </w:r>
      <w:r w:rsidR="00900F91">
        <w:t xml:space="preserve">live </w:t>
      </w:r>
      <w:r w:rsidR="00CF4080" w:rsidRPr="000B5D65">
        <w:t>professional de</w:t>
      </w:r>
      <w:r w:rsidR="000945EE" w:rsidRPr="000B5D65">
        <w:t>velopmen</w:t>
      </w:r>
      <w:r w:rsidR="00344416" w:rsidRPr="000B5D65">
        <w:t>t to te</w:t>
      </w:r>
      <w:r w:rsidR="00E66268" w:rsidRPr="000B5D65">
        <w:t>achers about this new method of instruction</w:t>
      </w:r>
      <w:r w:rsidR="00EA69B4" w:rsidRPr="000B5D65">
        <w:t>.</w:t>
      </w:r>
    </w:p>
    <w:p w14:paraId="6BAE3F9F" w14:textId="3F19E76B" w:rsidR="00F77D37" w:rsidRPr="000B5D65" w:rsidRDefault="00864A6D" w:rsidP="00810D04">
      <w:pPr>
        <w:widowControl w:val="0"/>
        <w:spacing w:line="480" w:lineRule="auto"/>
        <w:jc w:val="center"/>
        <w:rPr>
          <w:b/>
        </w:rPr>
      </w:pPr>
      <w:r w:rsidRPr="000B5D65">
        <w:rPr>
          <w:b/>
        </w:rPr>
        <w:t>The Content Enhancement Approach</w:t>
      </w:r>
    </w:p>
    <w:p w14:paraId="4C98BE45" w14:textId="26609C53" w:rsidR="00864A6D" w:rsidRPr="00DC7C94" w:rsidRDefault="00EA69B4" w:rsidP="00810D04">
      <w:pPr>
        <w:widowControl w:val="0"/>
        <w:spacing w:line="480" w:lineRule="auto"/>
        <w:ind w:firstLine="720"/>
        <w:rPr>
          <w:b/>
          <w:bCs/>
        </w:rPr>
      </w:pPr>
      <w:r w:rsidRPr="000B5D65">
        <w:t>The Content Enhancement Approach embodies a way of planning instruction for and teaching subject-matter content to diverse groups of students. It involves deciding what information to teach, transforming that information into easy-to-understand formats, and delivering the information</w:t>
      </w:r>
      <w:r w:rsidR="00E66268" w:rsidRPr="000B5D65">
        <w:t xml:space="preserve"> in memorable ways</w:t>
      </w:r>
      <w:r w:rsidR="008D4323" w:rsidRPr="000B5D65">
        <w:t>. The approach is founded on</w:t>
      </w:r>
      <w:r w:rsidR="00864A6D" w:rsidRPr="000B5D65">
        <w:t xml:space="preserve"> and incorporates the use of</w:t>
      </w:r>
      <w:r w:rsidR="008D4323" w:rsidRPr="000B5D65">
        <w:t xml:space="preserve"> basic learning principles</w:t>
      </w:r>
      <w:r w:rsidR="003D1869">
        <w:t xml:space="preserve"> (</w:t>
      </w:r>
      <w:r w:rsidR="003D1869" w:rsidRPr="00DC7C94">
        <w:rPr>
          <w:b/>
          <w:bCs/>
        </w:rPr>
        <w:t>Lenz et al, 2004</w:t>
      </w:r>
      <w:r w:rsidR="003D1869">
        <w:t>)</w:t>
      </w:r>
      <w:r w:rsidR="008D4323" w:rsidRPr="000B5D65">
        <w:t xml:space="preserve">. For example, research has shown that students learn more when they are actively involved in the learning process by </w:t>
      </w:r>
      <w:r w:rsidR="00864A6D" w:rsidRPr="000B5D65">
        <w:t xml:space="preserve">reading, </w:t>
      </w:r>
      <w:r w:rsidR="008D4323" w:rsidRPr="000B5D65">
        <w:t>writing</w:t>
      </w:r>
      <w:r w:rsidR="00864A6D" w:rsidRPr="000B5D65">
        <w:t>,</w:t>
      </w:r>
      <w:r w:rsidR="008D4323" w:rsidRPr="000B5D65">
        <w:t xml:space="preserve"> and speaking</w:t>
      </w:r>
      <w:r w:rsidR="0070174A" w:rsidRPr="000B5D65">
        <w:t xml:space="preserve"> during</w:t>
      </w:r>
      <w:r w:rsidR="00344416" w:rsidRPr="000B5D65">
        <w:t xml:space="preserve"> a high percentage of instructional time</w:t>
      </w:r>
      <w:r w:rsidR="009B2686" w:rsidRPr="000B5D65">
        <w:t xml:space="preserve"> versus a low percentage of time</w:t>
      </w:r>
      <w:r w:rsidR="003D1869">
        <w:t xml:space="preserve"> (</w:t>
      </w:r>
      <w:r w:rsidR="003D1869" w:rsidRPr="00DC7C94">
        <w:rPr>
          <w:b/>
          <w:bCs/>
        </w:rPr>
        <w:t>Vaughn et al., 2000</w:t>
      </w:r>
      <w:r w:rsidR="003D1869">
        <w:t>)</w:t>
      </w:r>
      <w:r w:rsidR="00344416" w:rsidRPr="000B5D65">
        <w:t>. They also learn more</w:t>
      </w:r>
      <w:r w:rsidR="008D4323" w:rsidRPr="000B5D65">
        <w:t xml:space="preserve"> when abstract concepts are made concrete, when new information is tied to information they already know, when relationships are made explicit, and when important information is distinguished from unimportant information</w:t>
      </w:r>
      <w:r w:rsidR="003D1869">
        <w:t xml:space="preserve"> (</w:t>
      </w:r>
      <w:r w:rsidR="003D1869" w:rsidRPr="00DC7C94">
        <w:rPr>
          <w:b/>
          <w:bCs/>
        </w:rPr>
        <w:t>Swanson &amp; Deshler, 2003)</w:t>
      </w:r>
      <w:r w:rsidR="008D4323" w:rsidRPr="00DC7C94">
        <w:rPr>
          <w:b/>
          <w:bCs/>
        </w:rPr>
        <w:t>.</w:t>
      </w:r>
    </w:p>
    <w:p w14:paraId="657FB064" w14:textId="5E87E3B4" w:rsidR="00864A6D" w:rsidRPr="000B5D65" w:rsidRDefault="00DE05EA" w:rsidP="00810D04">
      <w:pPr>
        <w:widowControl w:val="0"/>
        <w:spacing w:line="480" w:lineRule="auto"/>
        <w:ind w:firstLine="720"/>
      </w:pPr>
      <w:r w:rsidRPr="000B5D65">
        <w:t xml:space="preserve">In addition, the Content Enhancement Approach is based on research that shows that expert learners approach learning tasks by inventing strategies to help them do well on those </w:t>
      </w:r>
      <w:r w:rsidRPr="000B5D65">
        <w:lastRenderedPageBreak/>
        <w:t xml:space="preserve">tasks. Theorists (e.g., </w:t>
      </w:r>
      <w:r w:rsidR="00D72C34" w:rsidRPr="000B5D65">
        <w:t>Pressley et al., 1987; Pressley &amp; McCormick, 2007</w:t>
      </w:r>
      <w:r w:rsidRPr="000B5D65">
        <w:t xml:space="preserve">) have proposed that the academic performance of struggling learners might be enhanced if they are explicitly and directly taught learning strategies for completing academic tasks. Indeed, research has shown that </w:t>
      </w:r>
      <w:r w:rsidR="00081A85">
        <w:t>strugg</w:t>
      </w:r>
      <w:r w:rsidR="007945C3">
        <w:t>l</w:t>
      </w:r>
      <w:r w:rsidR="00081A85">
        <w:t>ing</w:t>
      </w:r>
      <w:r w:rsidRPr="000B5D65">
        <w:t xml:space="preserve"> learners’ academic performance can be substantially enhanced if they learn to apply strategies, and</w:t>
      </w:r>
      <w:r w:rsidR="003470DC" w:rsidRPr="000B5D65">
        <w:t xml:space="preserve"> the instruction of strategies (called</w:t>
      </w:r>
      <w:r w:rsidRPr="000B5D65">
        <w:t xml:space="preserve"> </w:t>
      </w:r>
      <w:r w:rsidR="003470DC" w:rsidRPr="000B5D65">
        <w:t>“</w:t>
      </w:r>
      <w:r w:rsidR="005221D4" w:rsidRPr="000B5D65">
        <w:t>Strategic I</w:t>
      </w:r>
      <w:r w:rsidRPr="000B5D65">
        <w:t>nstruction</w:t>
      </w:r>
      <w:r w:rsidR="003470DC" w:rsidRPr="000B5D65">
        <w:t>”)</w:t>
      </w:r>
      <w:r w:rsidRPr="000B5D65">
        <w:t xml:space="preserve"> has been found to be one of the most effective methods for i</w:t>
      </w:r>
      <w:r w:rsidR="00D72C34" w:rsidRPr="000B5D65">
        <w:t>mproving their performance (</w:t>
      </w:r>
      <w:r w:rsidR="0081276F" w:rsidRPr="000B5D65">
        <w:t xml:space="preserve">Graham, &amp; Perrin, </w:t>
      </w:r>
      <w:r w:rsidR="00C628C3" w:rsidRPr="000B5D65">
        <w:t xml:space="preserve">2007; </w:t>
      </w:r>
      <w:r w:rsidR="00D72C34" w:rsidRPr="000B5D65">
        <w:t xml:space="preserve">Swanson &amp; </w:t>
      </w:r>
      <w:proofErr w:type="spellStart"/>
      <w:r w:rsidR="00D72C34" w:rsidRPr="000B5D65">
        <w:t>Hoskyn</w:t>
      </w:r>
      <w:proofErr w:type="spellEnd"/>
      <w:r w:rsidR="00D72C34" w:rsidRPr="000B5D65">
        <w:t>, 1998; Swanson et al., 1999</w:t>
      </w:r>
      <w:r w:rsidR="009B2686" w:rsidRPr="000B5D65">
        <w:t xml:space="preserve">, </w:t>
      </w:r>
      <w:proofErr w:type="spellStart"/>
      <w:r w:rsidR="009B2686" w:rsidRPr="000B5D65">
        <w:t>Tralli</w:t>
      </w:r>
      <w:proofErr w:type="spellEnd"/>
      <w:r w:rsidR="009B2686" w:rsidRPr="000B5D65">
        <w:t xml:space="preserve"> et al., 1996</w:t>
      </w:r>
      <w:r w:rsidR="006C37A5" w:rsidRPr="000B5D65">
        <w:t xml:space="preserve"> </w:t>
      </w:r>
      <w:r w:rsidR="00D72C34" w:rsidRPr="000B5D65">
        <w:t>).</w:t>
      </w:r>
      <w:r w:rsidRPr="000B5D65">
        <w:t xml:space="preserve"> </w:t>
      </w:r>
      <w:r w:rsidR="007D3FAD" w:rsidRPr="000B5D65">
        <w:t xml:space="preserve">A “strategy” is a learner’s approach to an academic task. It involves performing a series of cognitive and overt behaviors to complete the task (Alley &amp; Deshler, 1979). It is best taught by an expert learner </w:t>
      </w:r>
      <w:r w:rsidR="00E66268" w:rsidRPr="000B5D65">
        <w:t xml:space="preserve">(i.e., an experienced and trained educator) </w:t>
      </w:r>
      <w:r w:rsidR="007D3FAD" w:rsidRPr="000B5D65">
        <w:t xml:space="preserve">who can demonstrate all the cognitive and overt behaviors </w:t>
      </w:r>
      <w:r w:rsidR="0098530C" w:rsidRPr="000B5D65">
        <w:t>involved in completing an academic task</w:t>
      </w:r>
      <w:r w:rsidR="007945C3">
        <w:t>.</w:t>
      </w:r>
      <w:r w:rsidR="0098530C" w:rsidRPr="000B5D65">
        <w:t xml:space="preserve"> </w:t>
      </w:r>
      <w:r w:rsidR="007945C3">
        <w:t>F</w:t>
      </w:r>
      <w:r w:rsidR="0098530C" w:rsidRPr="000B5D65">
        <w:t xml:space="preserve">or example, </w:t>
      </w:r>
      <w:r w:rsidR="007945C3">
        <w:t>an experienced learner can</w:t>
      </w:r>
      <w:r w:rsidR="0098530C" w:rsidRPr="000B5D65">
        <w:t xml:space="preserve"> demonstrat</w:t>
      </w:r>
      <w:r w:rsidR="007945C3">
        <w:t xml:space="preserve">e </w:t>
      </w:r>
      <w:r w:rsidR="0098530C" w:rsidRPr="000B5D65">
        <w:t>all the behaviors involved in analyzing how two concepts</w:t>
      </w:r>
      <w:r w:rsidR="005221D4" w:rsidRPr="000B5D65">
        <w:t xml:space="preserve"> </w:t>
      </w:r>
      <w:r w:rsidR="0098530C" w:rsidRPr="000B5D65">
        <w:t>can be compared and contrasted and then help a student to practice those behaviors.</w:t>
      </w:r>
    </w:p>
    <w:p w14:paraId="3E2EEFB7" w14:textId="4AEB0250" w:rsidR="002B678C" w:rsidRPr="000B5D65" w:rsidRDefault="00DE05EA" w:rsidP="00810D04">
      <w:pPr>
        <w:widowControl w:val="0"/>
        <w:spacing w:line="480" w:lineRule="auto"/>
        <w:ind w:firstLine="720"/>
      </w:pPr>
      <w:r w:rsidRPr="000B5D65">
        <w:t>Thus, the Content Enhancement Approach involves the application of a combination of research-validated le</w:t>
      </w:r>
      <w:r w:rsidR="003470DC" w:rsidRPr="000B5D65">
        <w:t>arning principles with research-</w:t>
      </w:r>
      <w:r w:rsidR="00AD1C67" w:rsidRPr="000B5D65">
        <w:t>validated S</w:t>
      </w:r>
      <w:r w:rsidRPr="000B5D65">
        <w:t>trat</w:t>
      </w:r>
      <w:r w:rsidR="00AD1C67" w:rsidRPr="000B5D65">
        <w:t>egic I</w:t>
      </w:r>
      <w:r w:rsidR="0098530C" w:rsidRPr="000B5D65">
        <w:t>nstruction. Through the Content Enhancement A</w:t>
      </w:r>
      <w:r w:rsidRPr="000B5D65">
        <w:t xml:space="preserve">pproach, </w:t>
      </w:r>
      <w:r w:rsidR="008D4323" w:rsidRPr="000B5D65">
        <w:t xml:space="preserve">students are engaged in a learning apprenticeship </w:t>
      </w:r>
      <w:r w:rsidR="008326A6" w:rsidRPr="000B5D65">
        <w:t>(Hock</w:t>
      </w:r>
      <w:r w:rsidR="00864A6D" w:rsidRPr="000B5D65">
        <w:t xml:space="preserve"> et al., </w:t>
      </w:r>
      <w:r w:rsidR="008326A6" w:rsidRPr="000B5D65">
        <w:t>1999</w:t>
      </w:r>
      <w:r w:rsidR="00CF3259" w:rsidRPr="000B5D65">
        <w:t>; Lenz</w:t>
      </w:r>
      <w:r w:rsidR="00864A6D" w:rsidRPr="000B5D65">
        <w:t xml:space="preserve"> et al., </w:t>
      </w:r>
      <w:r w:rsidR="00CF3259" w:rsidRPr="000B5D65">
        <w:t>2004</w:t>
      </w:r>
      <w:r w:rsidR="008D4323" w:rsidRPr="000B5D65">
        <w:t>) whereby their teacher, an expert learner, teaches them how to</w:t>
      </w:r>
      <w:r w:rsidRPr="000B5D65">
        <w:t xml:space="preserve"> apply strategies to</w:t>
      </w:r>
      <w:r w:rsidR="008D4323" w:rsidRPr="000B5D65">
        <w:t xml:space="preserve"> learn the kind of information that they </w:t>
      </w:r>
      <w:r w:rsidR="00E66268" w:rsidRPr="000B5D65">
        <w:t>should learn in</w:t>
      </w:r>
      <w:r w:rsidR="008D4323" w:rsidRPr="000B5D65">
        <w:t xml:space="preserve"> a course. </w:t>
      </w:r>
      <w:r w:rsidR="005841F3" w:rsidRPr="000B5D65">
        <w:t xml:space="preserve">That is, their history teacher teaches them the </w:t>
      </w:r>
      <w:r w:rsidRPr="000B5D65">
        <w:t>strategies</w:t>
      </w:r>
      <w:r w:rsidR="005841F3" w:rsidRPr="000B5D65">
        <w:t xml:space="preserve"> needed to</w:t>
      </w:r>
      <w:r w:rsidRPr="000B5D65">
        <w:t xml:space="preserve"> think about and</w:t>
      </w:r>
      <w:r w:rsidR="005841F3" w:rsidRPr="000B5D65">
        <w:t xml:space="preserve"> learn historical information while the</w:t>
      </w:r>
      <w:r w:rsidR="003470DC" w:rsidRPr="000B5D65">
        <w:t>ir</w:t>
      </w:r>
      <w:r w:rsidR="005841F3" w:rsidRPr="000B5D65">
        <w:t xml:space="preserve"> math teacher teaches them the </w:t>
      </w:r>
      <w:r w:rsidRPr="000B5D65">
        <w:t>strategies</w:t>
      </w:r>
      <w:r w:rsidR="005841F3" w:rsidRPr="000B5D65">
        <w:t xml:space="preserve"> needed to </w:t>
      </w:r>
      <w:r w:rsidRPr="000B5D65">
        <w:t xml:space="preserve">think about and </w:t>
      </w:r>
      <w:r w:rsidR="005841F3" w:rsidRPr="000B5D65">
        <w:t xml:space="preserve">learn </w:t>
      </w:r>
      <w:r w:rsidR="00553621" w:rsidRPr="000B5D65">
        <w:t>how to perform mathematic</w:t>
      </w:r>
      <w:r w:rsidR="007945C3">
        <w:t>al</w:t>
      </w:r>
      <w:r w:rsidR="00553621" w:rsidRPr="000B5D65">
        <w:t xml:space="preserve"> operations</w:t>
      </w:r>
      <w:r w:rsidR="005841F3" w:rsidRPr="000B5D65">
        <w:t xml:space="preserve">. </w:t>
      </w:r>
      <w:r w:rsidR="002B678C" w:rsidRPr="000B5D65">
        <w:t xml:space="preserve">In essence, the major goal associated with this </w:t>
      </w:r>
      <w:r w:rsidR="00FF3253">
        <w:t>student-centered</w:t>
      </w:r>
      <w:r w:rsidR="002B678C" w:rsidRPr="000B5D65">
        <w:t xml:space="preserve"> approach is that the integrity of the information is maintained while ensuring that the learning of all students is enhanced. </w:t>
      </w:r>
      <w:r w:rsidRPr="000B5D65">
        <w:t>The result</w:t>
      </w:r>
      <w:r w:rsidR="00864A6D" w:rsidRPr="000B5D65">
        <w:t xml:space="preserve"> is</w:t>
      </w:r>
      <w:r w:rsidR="002B678C" w:rsidRPr="000B5D65">
        <w:t xml:space="preserve"> that students with disabilities, low-achieving students, normal</w:t>
      </w:r>
      <w:r w:rsidR="00864A6D" w:rsidRPr="000B5D65">
        <w:t>ly</w:t>
      </w:r>
      <w:r w:rsidR="002B678C" w:rsidRPr="000B5D65">
        <w:t xml:space="preserve"> achieving students, and high achievers learn more when the Content Enhancement </w:t>
      </w:r>
      <w:r w:rsidR="002B678C" w:rsidRPr="000B5D65">
        <w:lastRenderedPageBreak/>
        <w:t>Approach is</w:t>
      </w:r>
      <w:r w:rsidR="0098530C" w:rsidRPr="000B5D65">
        <w:t xml:space="preserve"> used versus when it is not</w:t>
      </w:r>
      <w:r w:rsidR="002B678C" w:rsidRPr="000B5D65">
        <w:t xml:space="preserve">. </w:t>
      </w:r>
    </w:p>
    <w:p w14:paraId="12D9D63B" w14:textId="0CE1F6D4" w:rsidR="00B97B3C" w:rsidRPr="000B5D65" w:rsidRDefault="002B678C" w:rsidP="00810D04">
      <w:pPr>
        <w:widowControl w:val="0"/>
        <w:spacing w:line="480" w:lineRule="auto"/>
        <w:ind w:firstLine="720"/>
      </w:pPr>
      <w:r w:rsidRPr="000B5D65">
        <w:t xml:space="preserve">As a result of the development work on the Content Enhancement Approach, </w:t>
      </w:r>
      <w:r w:rsidR="008F7BDA">
        <w:t>numerous</w:t>
      </w:r>
      <w:r w:rsidRPr="000B5D65">
        <w:t xml:space="preserve"> teaching routines have been created and tested in </w:t>
      </w:r>
      <w:r w:rsidR="00F53CCF" w:rsidRPr="000B5D65">
        <w:t xml:space="preserve">methodologically </w:t>
      </w:r>
      <w:r w:rsidRPr="000B5D65">
        <w:t>rigorous research studies. Each routine focuses on one part of the teaching process. For example, some of the routines focus on organizing inf</w:t>
      </w:r>
      <w:r w:rsidR="00F53CCF" w:rsidRPr="000B5D65">
        <w:t>ormation for a course (Lenz</w:t>
      </w:r>
      <w:r w:rsidR="00864A6D" w:rsidRPr="000B5D65">
        <w:t xml:space="preserve"> et al.,</w:t>
      </w:r>
      <w:r w:rsidR="009263CA" w:rsidRPr="000B5D65">
        <w:t xml:space="preserve"> 1998</w:t>
      </w:r>
      <w:r w:rsidR="00685EE6" w:rsidRPr="000B5D65">
        <w:t>), unit (Lenz</w:t>
      </w:r>
      <w:r w:rsidR="00864A6D" w:rsidRPr="000B5D65">
        <w:t xml:space="preserve"> et al., </w:t>
      </w:r>
      <w:r w:rsidR="00685EE6" w:rsidRPr="000B5D65">
        <w:t>1994</w:t>
      </w:r>
      <w:r w:rsidR="00B97B3C" w:rsidRPr="000B5D65">
        <w:t>), or</w:t>
      </w:r>
      <w:r w:rsidRPr="000B5D65">
        <w:t xml:space="preserve"> lesson</w:t>
      </w:r>
      <w:r w:rsidR="00685EE6" w:rsidRPr="000B5D65">
        <w:t xml:space="preserve"> (Lenz</w:t>
      </w:r>
      <w:r w:rsidR="00864A6D" w:rsidRPr="000B5D65">
        <w:t xml:space="preserve"> et al.,</w:t>
      </w:r>
      <w:r w:rsidR="00685EE6" w:rsidRPr="000B5D65">
        <w:t xml:space="preserve"> 1993</w:t>
      </w:r>
      <w:r w:rsidR="00B97B3C" w:rsidRPr="000B5D65">
        <w:t>)</w:t>
      </w:r>
      <w:r w:rsidR="003470DC" w:rsidRPr="000B5D65">
        <w:t xml:space="preserve"> and communicating that organization to students</w:t>
      </w:r>
      <w:r w:rsidRPr="000B5D65">
        <w:t>. Others focus on teaching a major concept(s) associated with a unit of study</w:t>
      </w:r>
      <w:r w:rsidR="00E871C8" w:rsidRPr="000B5D65">
        <w:t xml:space="preserve"> (e.g., </w:t>
      </w:r>
      <w:proofErr w:type="spellStart"/>
      <w:r w:rsidR="00E871C8" w:rsidRPr="000B5D65">
        <w:t>Bulgren</w:t>
      </w:r>
      <w:proofErr w:type="spellEnd"/>
      <w:r w:rsidR="00864A6D" w:rsidRPr="000B5D65">
        <w:t xml:space="preserve"> et al., </w:t>
      </w:r>
      <w:r w:rsidR="00E871C8" w:rsidRPr="000B5D65">
        <w:t>1993</w:t>
      </w:r>
      <w:r w:rsidR="008F7BDA">
        <w:t xml:space="preserve">, </w:t>
      </w:r>
      <w:r w:rsidR="008F7BDA" w:rsidRPr="00900F91">
        <w:t>2000</w:t>
      </w:r>
      <w:r w:rsidR="00B97B3C" w:rsidRPr="00900F91">
        <w:t>)</w:t>
      </w:r>
      <w:r w:rsidR="0007214B" w:rsidRPr="00900F91">
        <w:t xml:space="preserve"> or comparing and contrasting t</w:t>
      </w:r>
      <w:r w:rsidR="001E448B" w:rsidRPr="00900F91">
        <w:t>wo concepts (</w:t>
      </w:r>
      <w:proofErr w:type="spellStart"/>
      <w:r w:rsidR="001E448B" w:rsidRPr="00900F91">
        <w:t>Bulgren</w:t>
      </w:r>
      <w:proofErr w:type="spellEnd"/>
      <w:r w:rsidR="001E448B" w:rsidRPr="00900F91">
        <w:t xml:space="preserve"> et al., 1995</w:t>
      </w:r>
      <w:r w:rsidR="0007214B" w:rsidRPr="00900F91">
        <w:t>)</w:t>
      </w:r>
      <w:r w:rsidRPr="00900F91">
        <w:t>. Still others focus on answering a critical course questio</w:t>
      </w:r>
      <w:r w:rsidR="00E871C8" w:rsidRPr="00900F91">
        <w:t>n (</w:t>
      </w:r>
      <w:proofErr w:type="spellStart"/>
      <w:r w:rsidR="00E871C8" w:rsidRPr="00900F91">
        <w:t>Bulgren</w:t>
      </w:r>
      <w:proofErr w:type="spellEnd"/>
      <w:r w:rsidR="00864A6D" w:rsidRPr="00900F91">
        <w:t xml:space="preserve"> et al.,</w:t>
      </w:r>
      <w:r w:rsidR="00E871C8" w:rsidRPr="00900F91">
        <w:t xml:space="preserve"> 2001),</w:t>
      </w:r>
      <w:r w:rsidR="008F7BDA" w:rsidRPr="00900F91">
        <w:t xml:space="preserve"> organizing key information (Scanlon et al., 2004),</w:t>
      </w:r>
      <w:r w:rsidR="00B97B3C" w:rsidRPr="00900F91">
        <w:t xml:space="preserve"> teaching key inform</w:t>
      </w:r>
      <w:r w:rsidR="00E871C8" w:rsidRPr="00900F91">
        <w:t>ation (Ellis, 1998)</w:t>
      </w:r>
      <w:r w:rsidR="003470DC" w:rsidRPr="00900F91">
        <w:t>, introducing new</w:t>
      </w:r>
      <w:r w:rsidR="00E871C8" w:rsidRPr="00900F91">
        <w:t xml:space="preserve"> vocabulary (Ellis, 2001</w:t>
      </w:r>
      <w:r w:rsidR="00B97B3C" w:rsidRPr="00900F91">
        <w:t>)</w:t>
      </w:r>
      <w:r w:rsidR="00312622" w:rsidRPr="00900F91">
        <w:t xml:space="preserve">, </w:t>
      </w:r>
      <w:r w:rsidR="008F7BDA" w:rsidRPr="00900F91">
        <w:t xml:space="preserve">studying key information (Schumaker et al., 1998), deriving key information from textbooks (Deshler et al., 1997), </w:t>
      </w:r>
      <w:r w:rsidR="00312622" w:rsidRPr="00900F91">
        <w:t xml:space="preserve">or creating and introducing assignments to </w:t>
      </w:r>
      <w:r w:rsidR="00E871C8" w:rsidRPr="00900F91">
        <w:t>students (</w:t>
      </w:r>
      <w:r w:rsidR="00864A6D" w:rsidRPr="00900F91">
        <w:t>Rademacher et al</w:t>
      </w:r>
      <w:r w:rsidR="00864A6D" w:rsidRPr="000B5D65">
        <w:t>.,</w:t>
      </w:r>
      <w:r w:rsidR="00685EE6" w:rsidRPr="000B5D65">
        <w:t xml:space="preserve"> 1998)</w:t>
      </w:r>
      <w:r w:rsidR="00B97B3C" w:rsidRPr="000B5D65">
        <w:t xml:space="preserve">. </w:t>
      </w:r>
    </w:p>
    <w:p w14:paraId="01AF0963" w14:textId="2ED8A55C" w:rsidR="00F7515B" w:rsidRPr="000B5D65" w:rsidRDefault="00B97B3C" w:rsidP="00810D04">
      <w:pPr>
        <w:widowControl w:val="0"/>
        <w:spacing w:line="480" w:lineRule="auto"/>
        <w:ind w:firstLine="720"/>
      </w:pPr>
      <w:r w:rsidRPr="000B5D65">
        <w:t>Regardless of the purpose of the routine, each routine has three phases that are led by the teacher. First, in the “Cue” Phase, the teacher qu</w:t>
      </w:r>
      <w:r w:rsidR="003470DC" w:rsidRPr="000B5D65">
        <w:t>ickly cues the students that a</w:t>
      </w:r>
      <w:r w:rsidRPr="000B5D65">
        <w:t xml:space="preserve"> routin</w:t>
      </w:r>
      <w:r w:rsidR="003470DC" w:rsidRPr="000B5D65">
        <w:t>e will be used</w:t>
      </w:r>
      <w:r w:rsidRPr="000B5D65">
        <w:t>, provides an advance organizer about the information to be covered</w:t>
      </w:r>
      <w:r w:rsidR="0007214B" w:rsidRPr="000B5D65">
        <w:t xml:space="preserve"> and the routine to be used</w:t>
      </w:r>
      <w:r w:rsidRPr="000B5D65">
        <w:t xml:space="preserve"> and </w:t>
      </w:r>
      <w:r w:rsidR="003470DC" w:rsidRPr="000B5D65">
        <w:t>how it will help them</w:t>
      </w:r>
      <w:r w:rsidRPr="000B5D65">
        <w:t xml:space="preserve">, and explains what the students are expected to do. Next, in the “Do” Phase, the teacher and students engage in a discussion in which they work in partnership to co-construct a visual </w:t>
      </w:r>
      <w:r w:rsidR="008C1D86" w:rsidRPr="000B5D65">
        <w:t xml:space="preserve">graphic </w:t>
      </w:r>
      <w:r w:rsidRPr="000B5D65">
        <w:t>device</w:t>
      </w:r>
      <w:r w:rsidR="00AB2C36" w:rsidRPr="000B5D65">
        <w:t>. By the end of the lesson, the completed</w:t>
      </w:r>
      <w:r w:rsidRPr="000B5D65">
        <w:t xml:space="preserve"> device depicts the information to be learned and the relationships among the information. All students create their own devices during the lesson and can use them to study for tests and as outlines for written products. In the “Review” Phase of the routine, the teacher and students review the information that has been covered</w:t>
      </w:r>
      <w:r w:rsidR="008C1D86" w:rsidRPr="000B5D65">
        <w:t xml:space="preserve"> and how the routine has helped students to learn</w:t>
      </w:r>
      <w:r w:rsidRPr="000B5D65">
        <w:t xml:space="preserve">. Any misunderstandings </w:t>
      </w:r>
      <w:r w:rsidR="007945C3">
        <w:t>can be</w:t>
      </w:r>
      <w:r w:rsidRPr="000B5D65">
        <w:t xml:space="preserve"> clarified</w:t>
      </w:r>
      <w:r w:rsidR="00E66268" w:rsidRPr="000B5D65">
        <w:t xml:space="preserve"> and resolved</w:t>
      </w:r>
      <w:r w:rsidRPr="000B5D65">
        <w:t xml:space="preserve">. </w:t>
      </w:r>
      <w:r w:rsidR="007C491C" w:rsidRPr="000B5D65">
        <w:t>Through the use of this three-phase sequence, all</w:t>
      </w:r>
      <w:r w:rsidR="000C673C" w:rsidRPr="000B5D65">
        <w:t xml:space="preserve"> of</w:t>
      </w:r>
      <w:r w:rsidR="003A646B" w:rsidRPr="000B5D65">
        <w:t xml:space="preserve"> the</w:t>
      </w:r>
      <w:r w:rsidR="007C491C" w:rsidRPr="000B5D65">
        <w:t xml:space="preserve"> Content Enhancement R</w:t>
      </w:r>
      <w:r w:rsidR="000C673C" w:rsidRPr="000B5D65">
        <w:t>outines are</w:t>
      </w:r>
      <w:r w:rsidR="003A646B" w:rsidRPr="000B5D65">
        <w:t xml:space="preserve"> parallel</w:t>
      </w:r>
      <w:r w:rsidR="000C673C" w:rsidRPr="000B5D65">
        <w:t xml:space="preserve"> in structure</w:t>
      </w:r>
      <w:r w:rsidR="003A646B" w:rsidRPr="000B5D65">
        <w:t xml:space="preserve">; the students and teacher interact as they work </w:t>
      </w:r>
      <w:r w:rsidR="003A646B" w:rsidRPr="000B5D65">
        <w:lastRenderedPageBreak/>
        <w:t>through the three phases and construct a graphic device in partnership th</w:t>
      </w:r>
      <w:r w:rsidR="007C491C" w:rsidRPr="000B5D65">
        <w:t>at depicts the information being</w:t>
      </w:r>
      <w:r w:rsidR="003A646B" w:rsidRPr="000B5D65">
        <w:t xml:space="preserve"> learned. </w:t>
      </w:r>
    </w:p>
    <w:p w14:paraId="265C7198" w14:textId="70C4E180" w:rsidR="002B678C" w:rsidRPr="000B5D65" w:rsidRDefault="00C641DF" w:rsidP="00810D04">
      <w:pPr>
        <w:widowControl w:val="0"/>
        <w:spacing w:line="480" w:lineRule="auto"/>
        <w:ind w:firstLine="720"/>
      </w:pPr>
      <w:r w:rsidRPr="007945C3">
        <w:t>The</w:t>
      </w:r>
      <w:r w:rsidR="001D579D" w:rsidRPr="007945C3">
        <w:t xml:space="preserve"> line of programmatic research</w:t>
      </w:r>
      <w:r w:rsidR="001D579D" w:rsidRPr="000B5D65">
        <w:t xml:space="preserve"> that has focused on empirically validating the Content Enhancement Routi</w:t>
      </w:r>
      <w:r w:rsidR="0007214B" w:rsidRPr="000B5D65">
        <w:t>nes has spanned more than</w:t>
      </w:r>
      <w:r w:rsidR="00864A6D" w:rsidRPr="000B5D65">
        <w:t xml:space="preserve"> 35</w:t>
      </w:r>
      <w:r w:rsidR="001D579D" w:rsidRPr="000B5D65">
        <w:t xml:space="preserve"> years. During that time, individual studies have focused on individual routines (</w:t>
      </w:r>
      <w:r w:rsidR="001D579D" w:rsidRPr="00CE0B6C">
        <w:rPr>
          <w:b/>
          <w:bCs/>
        </w:rPr>
        <w:t xml:space="preserve">see </w:t>
      </w:r>
      <w:r w:rsidR="00CE0B6C" w:rsidRPr="00CE0B6C">
        <w:rPr>
          <w:b/>
          <w:bCs/>
        </w:rPr>
        <w:t>Schumaker</w:t>
      </w:r>
      <w:r w:rsidR="000945EE" w:rsidRPr="00CE0B6C">
        <w:rPr>
          <w:b/>
          <w:bCs/>
        </w:rPr>
        <w:t xml:space="preserve"> et al.,</w:t>
      </w:r>
      <w:r w:rsidR="001D579D" w:rsidRPr="00CE0B6C">
        <w:rPr>
          <w:b/>
          <w:bCs/>
        </w:rPr>
        <w:t xml:space="preserve"> 2002 and </w:t>
      </w:r>
      <w:r w:rsidR="00CE0B6C" w:rsidRPr="00CE0B6C">
        <w:rPr>
          <w:b/>
          <w:bCs/>
        </w:rPr>
        <w:t>Schumaker &amp; Deshler</w:t>
      </w:r>
      <w:r w:rsidR="001D579D" w:rsidRPr="00CE0B6C">
        <w:rPr>
          <w:b/>
          <w:bCs/>
        </w:rPr>
        <w:t xml:space="preserve">, </w:t>
      </w:r>
      <w:r w:rsidR="00B15867" w:rsidRPr="00CE0B6C">
        <w:rPr>
          <w:b/>
          <w:bCs/>
        </w:rPr>
        <w:t>2010</w:t>
      </w:r>
      <w:r w:rsidR="001D579D" w:rsidRPr="000B5D65">
        <w:t xml:space="preserve"> for reviews of the research). Four of the routines</w:t>
      </w:r>
      <w:r w:rsidR="0076465E" w:rsidRPr="000B5D65">
        <w:t xml:space="preserve"> and the research that has been completed associated with these routines</w:t>
      </w:r>
      <w:r w:rsidR="001D579D" w:rsidRPr="000B5D65">
        <w:t xml:space="preserve"> have been chosen to be </w:t>
      </w:r>
      <w:r w:rsidR="0076465E" w:rsidRPr="000B5D65">
        <w:t xml:space="preserve">the focus of this </w:t>
      </w:r>
      <w:r w:rsidR="000945EE" w:rsidRPr="000B5D65">
        <w:t xml:space="preserve">review </w:t>
      </w:r>
      <w:r w:rsidR="0076465E" w:rsidRPr="000B5D65">
        <w:t xml:space="preserve">article because the work on these routines exemplifies the journey </w:t>
      </w:r>
      <w:r w:rsidR="00E66268" w:rsidRPr="000B5D65">
        <w:t>that embodies</w:t>
      </w:r>
      <w:r w:rsidR="0076465E" w:rsidRPr="000B5D65">
        <w:t xml:space="preserve"> the</w:t>
      </w:r>
      <w:r w:rsidR="005968FC" w:rsidRPr="000B5D65">
        <w:t xml:space="preserve"> whole</w:t>
      </w:r>
      <w:r w:rsidR="0076465E" w:rsidRPr="000B5D65">
        <w:t xml:space="preserve"> research-to-practice endeavor</w:t>
      </w:r>
      <w:r w:rsidR="007945C3">
        <w:t xml:space="preserve"> covered in both parts of this article</w:t>
      </w:r>
      <w:r w:rsidR="0076465E" w:rsidRPr="000B5D65">
        <w:t xml:space="preserve">. </w:t>
      </w:r>
      <w:r w:rsidR="007945C3" w:rsidRPr="007945C3">
        <w:rPr>
          <w:b/>
          <w:bCs/>
        </w:rPr>
        <w:t>In this part of th</w:t>
      </w:r>
      <w:r w:rsidR="00033841">
        <w:rPr>
          <w:b/>
          <w:bCs/>
        </w:rPr>
        <w:t>is</w:t>
      </w:r>
      <w:r w:rsidR="007945C3" w:rsidRPr="007945C3">
        <w:rPr>
          <w:b/>
          <w:bCs/>
        </w:rPr>
        <w:t xml:space="preserve"> article (Part I)</w:t>
      </w:r>
      <w:r w:rsidR="0076465E" w:rsidRPr="007945C3">
        <w:rPr>
          <w:b/>
          <w:bCs/>
        </w:rPr>
        <w:t>, each routine will be briefly described, and the</w:t>
      </w:r>
      <w:r w:rsidR="00DC7C94">
        <w:rPr>
          <w:b/>
          <w:bCs/>
        </w:rPr>
        <w:t xml:space="preserve"> </w:t>
      </w:r>
      <w:r w:rsidR="0076465E" w:rsidRPr="007945C3">
        <w:rPr>
          <w:b/>
          <w:bCs/>
        </w:rPr>
        <w:t>research stud</w:t>
      </w:r>
      <w:r w:rsidR="005968FC" w:rsidRPr="007945C3">
        <w:rPr>
          <w:b/>
          <w:bCs/>
        </w:rPr>
        <w:t>y</w:t>
      </w:r>
      <w:r w:rsidR="00043240" w:rsidRPr="007945C3">
        <w:rPr>
          <w:b/>
          <w:bCs/>
        </w:rPr>
        <w:t xml:space="preserve"> </w:t>
      </w:r>
      <w:r w:rsidR="005968FC" w:rsidRPr="007945C3">
        <w:rPr>
          <w:b/>
          <w:bCs/>
        </w:rPr>
        <w:t>that has</w:t>
      </w:r>
      <w:r w:rsidR="0076465E" w:rsidRPr="007945C3">
        <w:rPr>
          <w:b/>
          <w:bCs/>
        </w:rPr>
        <w:t xml:space="preserve"> been condu</w:t>
      </w:r>
      <w:r w:rsidR="005968FC" w:rsidRPr="007945C3">
        <w:rPr>
          <w:b/>
          <w:bCs/>
        </w:rPr>
        <w:t>cted to empirically validate that</w:t>
      </w:r>
      <w:r w:rsidR="0076465E" w:rsidRPr="007945C3">
        <w:rPr>
          <w:b/>
          <w:bCs/>
        </w:rPr>
        <w:t xml:space="preserve"> routine</w:t>
      </w:r>
      <w:r w:rsidR="0024440F" w:rsidRPr="007945C3">
        <w:rPr>
          <w:b/>
          <w:bCs/>
        </w:rPr>
        <w:t xml:space="preserve"> </w:t>
      </w:r>
      <w:r w:rsidR="00312622" w:rsidRPr="007945C3">
        <w:rPr>
          <w:b/>
          <w:bCs/>
        </w:rPr>
        <w:t>will be</w:t>
      </w:r>
      <w:r w:rsidR="0076465E" w:rsidRPr="007945C3">
        <w:rPr>
          <w:b/>
          <w:bCs/>
        </w:rPr>
        <w:t xml:space="preserve"> summarized. </w:t>
      </w:r>
      <w:r w:rsidR="00033841">
        <w:rPr>
          <w:b/>
          <w:bCs/>
        </w:rPr>
        <w:t xml:space="preserve">To complete the stages depicted in Figure 1, the professional development work related to all of the routines will be briefly summarized. </w:t>
      </w:r>
      <w:r w:rsidR="0076465E" w:rsidRPr="007945C3">
        <w:rPr>
          <w:b/>
          <w:bCs/>
        </w:rPr>
        <w:t>Later</w:t>
      </w:r>
      <w:r w:rsidR="00312622" w:rsidRPr="007945C3">
        <w:rPr>
          <w:b/>
          <w:bCs/>
        </w:rPr>
        <w:t xml:space="preserve">, in </w:t>
      </w:r>
      <w:r w:rsidR="000C673C" w:rsidRPr="007945C3">
        <w:rPr>
          <w:b/>
          <w:bCs/>
        </w:rPr>
        <w:t xml:space="preserve">the </w:t>
      </w:r>
      <w:r w:rsidR="00D160E1" w:rsidRPr="007945C3">
        <w:rPr>
          <w:b/>
          <w:bCs/>
        </w:rPr>
        <w:t xml:space="preserve">next </w:t>
      </w:r>
      <w:r w:rsidR="007945C3" w:rsidRPr="007945C3">
        <w:rPr>
          <w:b/>
          <w:bCs/>
        </w:rPr>
        <w:t>part of this article</w:t>
      </w:r>
      <w:r w:rsidR="00DC7C94">
        <w:rPr>
          <w:b/>
          <w:bCs/>
        </w:rPr>
        <w:t>, Part II</w:t>
      </w:r>
      <w:r w:rsidR="007945C3">
        <w:t xml:space="preserve"> </w:t>
      </w:r>
      <w:r w:rsidR="00312622" w:rsidRPr="000B5D65">
        <w:t xml:space="preserve">(see </w:t>
      </w:r>
      <w:r w:rsidR="00D160E1" w:rsidRPr="00C641DF">
        <w:rPr>
          <w:b/>
          <w:bCs/>
        </w:rPr>
        <w:t xml:space="preserve">Fisher &amp; Schumaker </w:t>
      </w:r>
      <w:r w:rsidR="005C56DC">
        <w:rPr>
          <w:b/>
          <w:bCs/>
        </w:rPr>
        <w:t>[under review]</w:t>
      </w:r>
      <w:r w:rsidR="00033841">
        <w:rPr>
          <w:b/>
          <w:bCs/>
        </w:rPr>
        <w:t xml:space="preserve">, </w:t>
      </w:r>
      <w:r w:rsidR="00900F91">
        <w:rPr>
          <w:b/>
          <w:bCs/>
        </w:rPr>
        <w:t xml:space="preserve">the </w:t>
      </w:r>
      <w:r w:rsidR="00033841">
        <w:rPr>
          <w:b/>
          <w:bCs/>
        </w:rPr>
        <w:t xml:space="preserve">next </w:t>
      </w:r>
      <w:r w:rsidR="00900F91">
        <w:rPr>
          <w:b/>
          <w:bCs/>
        </w:rPr>
        <w:t xml:space="preserve">article </w:t>
      </w:r>
      <w:r w:rsidR="00033841">
        <w:rPr>
          <w:b/>
          <w:bCs/>
        </w:rPr>
        <w:t>in this issue</w:t>
      </w:r>
      <w:r w:rsidR="00312622" w:rsidRPr="000B5D65">
        <w:t>)</w:t>
      </w:r>
      <w:r w:rsidR="005968FC" w:rsidRPr="000B5D65">
        <w:t>, t</w:t>
      </w:r>
      <w:r w:rsidR="0076465E" w:rsidRPr="000B5D65">
        <w:t xml:space="preserve">he </w:t>
      </w:r>
      <w:r w:rsidR="005968FC" w:rsidRPr="000B5D65">
        <w:t xml:space="preserve">remaining </w:t>
      </w:r>
      <w:r w:rsidR="0076465E" w:rsidRPr="000B5D65">
        <w:t>story about the road from research-to-practice related</w:t>
      </w:r>
      <w:r w:rsidR="007C491C" w:rsidRPr="000B5D65">
        <w:t xml:space="preserve"> to these </w:t>
      </w:r>
      <w:r w:rsidR="005968FC" w:rsidRPr="000B5D65">
        <w:t>same</w:t>
      </w:r>
      <w:r w:rsidR="00033841">
        <w:t xml:space="preserve"> four </w:t>
      </w:r>
      <w:r w:rsidR="007C491C" w:rsidRPr="000B5D65">
        <w:t>routines will be recounted</w:t>
      </w:r>
      <w:r w:rsidR="0076465E" w:rsidRPr="000B5D65">
        <w:t>.</w:t>
      </w:r>
    </w:p>
    <w:p w14:paraId="64241E9F" w14:textId="5204EB92" w:rsidR="0074013C" w:rsidRPr="000B5D65" w:rsidRDefault="00506A5A" w:rsidP="00810D04">
      <w:pPr>
        <w:widowControl w:val="0"/>
        <w:spacing w:line="480" w:lineRule="auto"/>
        <w:ind w:firstLine="720"/>
        <w:jc w:val="center"/>
        <w:rPr>
          <w:b/>
        </w:rPr>
      </w:pPr>
      <w:r w:rsidRPr="000B5D65">
        <w:rPr>
          <w:b/>
        </w:rPr>
        <w:t xml:space="preserve">The Research Road: </w:t>
      </w:r>
      <w:r w:rsidR="0076465E" w:rsidRPr="000B5D65">
        <w:rPr>
          <w:b/>
        </w:rPr>
        <w:t>Initial Validation of the Routines</w:t>
      </w:r>
    </w:p>
    <w:p w14:paraId="0AFD602A" w14:textId="1E28AC08" w:rsidR="005175C6" w:rsidRPr="000B5D65" w:rsidRDefault="0043156F" w:rsidP="00810D04">
      <w:pPr>
        <w:widowControl w:val="0"/>
        <w:spacing w:line="480" w:lineRule="auto"/>
        <w:rPr>
          <w:b/>
        </w:rPr>
      </w:pPr>
      <w:r w:rsidRPr="000B5D65">
        <w:rPr>
          <w:b/>
        </w:rPr>
        <w:t xml:space="preserve">The </w:t>
      </w:r>
      <w:r w:rsidR="005175C6" w:rsidRPr="000B5D65">
        <w:rPr>
          <w:b/>
        </w:rPr>
        <w:t>Concept Mastery Routine</w:t>
      </w:r>
    </w:p>
    <w:p w14:paraId="0E817244" w14:textId="702D301C" w:rsidR="006D750E" w:rsidRPr="000B5D65" w:rsidRDefault="006D750E" w:rsidP="00810D04">
      <w:pPr>
        <w:widowControl w:val="0"/>
        <w:spacing w:line="480" w:lineRule="auto"/>
        <w:rPr>
          <w:b/>
          <w:i/>
        </w:rPr>
      </w:pPr>
      <w:r w:rsidRPr="000B5D65">
        <w:rPr>
          <w:b/>
          <w:i/>
        </w:rPr>
        <w:t>The Routine</w:t>
      </w:r>
      <w:r w:rsidR="009F17C4" w:rsidRPr="000B5D65">
        <w:rPr>
          <w:b/>
          <w:i/>
        </w:rPr>
        <w:t xml:space="preserve"> Itself</w:t>
      </w:r>
      <w:r w:rsidR="00022753" w:rsidRPr="000B5D65">
        <w:rPr>
          <w:b/>
          <w:i/>
        </w:rPr>
        <w:t xml:space="preserve"> </w:t>
      </w:r>
    </w:p>
    <w:p w14:paraId="6ABEC5CD" w14:textId="43C9D053" w:rsidR="00627B95" w:rsidRPr="000B5D65" w:rsidRDefault="00022753" w:rsidP="00810D04">
      <w:pPr>
        <w:widowControl w:val="0"/>
        <w:spacing w:line="480" w:lineRule="auto"/>
        <w:ind w:firstLine="720"/>
      </w:pPr>
      <w:r w:rsidRPr="000B5D65">
        <w:t>The Concept Mastery Routine (</w:t>
      </w:r>
      <w:proofErr w:type="spellStart"/>
      <w:r w:rsidRPr="000B5D65">
        <w:t>Bulgren</w:t>
      </w:r>
      <w:proofErr w:type="spellEnd"/>
      <w:r w:rsidR="006D750E" w:rsidRPr="000B5D65">
        <w:t xml:space="preserve"> et al.,</w:t>
      </w:r>
      <w:r w:rsidR="007C491C" w:rsidRPr="000B5D65">
        <w:t xml:space="preserve"> </w:t>
      </w:r>
      <w:r w:rsidRPr="000B5D65">
        <w:t>1993)</w:t>
      </w:r>
      <w:r w:rsidR="00742D07" w:rsidRPr="000B5D65">
        <w:t xml:space="preserve"> was designed </w:t>
      </w:r>
      <w:r w:rsidR="006B6CFB" w:rsidRPr="000B5D65">
        <w:t>for</w:t>
      </w:r>
      <w:r w:rsidR="00742D07" w:rsidRPr="000B5D65">
        <w:t xml:space="preserve"> present</w:t>
      </w:r>
      <w:r w:rsidR="006B6CFB" w:rsidRPr="000B5D65">
        <w:t>ing</w:t>
      </w:r>
      <w:r w:rsidR="00742D07" w:rsidRPr="000B5D65">
        <w:t xml:space="preserve"> information about a major concept that is foundational to a unit of study. For example, the concept “</w:t>
      </w:r>
      <w:r w:rsidR="00742D07" w:rsidRPr="000B5D65">
        <w:rPr>
          <w:i/>
        </w:rPr>
        <w:t>tragedy</w:t>
      </w:r>
      <w:r w:rsidR="001E1E15" w:rsidRPr="000B5D65">
        <w:t>” might be analyzed</w:t>
      </w:r>
      <w:r w:rsidR="00742D07" w:rsidRPr="000B5D65">
        <w:t xml:space="preserve"> during a unit</w:t>
      </w:r>
      <w:r w:rsidR="00712C42" w:rsidRPr="000B5D65">
        <w:t xml:space="preserve"> focusing</w:t>
      </w:r>
      <w:r w:rsidR="00742D07" w:rsidRPr="000B5D65">
        <w:t xml:space="preserve"> on tragic plays in a literature course. The concept of “</w:t>
      </w:r>
      <w:r w:rsidR="00742D07" w:rsidRPr="000B5D65">
        <w:rPr>
          <w:i/>
        </w:rPr>
        <w:t>colonialism</w:t>
      </w:r>
      <w:r w:rsidR="00742D07" w:rsidRPr="000B5D65">
        <w:t xml:space="preserve">” might be </w:t>
      </w:r>
      <w:r w:rsidR="001E1E15" w:rsidRPr="000B5D65">
        <w:t>analyzed</w:t>
      </w:r>
      <w:r w:rsidR="007C491C" w:rsidRPr="000B5D65">
        <w:t xml:space="preserve"> in a European history course</w:t>
      </w:r>
      <w:r w:rsidR="00627B95" w:rsidRPr="000B5D65">
        <w:t xml:space="preserve"> as the key </w:t>
      </w:r>
      <w:r w:rsidR="00742D07" w:rsidRPr="000B5D65">
        <w:t>concept during a unit on westward explorat</w:t>
      </w:r>
      <w:r w:rsidR="007C491C" w:rsidRPr="000B5D65">
        <w:t>ion</w:t>
      </w:r>
      <w:r w:rsidR="00742D07" w:rsidRPr="000B5D65">
        <w:t xml:space="preserve">. </w:t>
      </w:r>
      <w:r w:rsidR="00627B95" w:rsidRPr="000B5D65">
        <w:t xml:space="preserve">The basic idea behind presenting a concept like this at the beginning of a unit of study is to provide a foundation upon which the rest of the information in </w:t>
      </w:r>
      <w:r w:rsidR="00627B95" w:rsidRPr="000B5D65">
        <w:lastRenderedPageBreak/>
        <w:t xml:space="preserve">the unit can be built. </w:t>
      </w:r>
    </w:p>
    <w:p w14:paraId="0EFB062A" w14:textId="33201F2D" w:rsidR="004708E6" w:rsidRPr="000B5D65" w:rsidRDefault="00627B95" w:rsidP="00810D04">
      <w:pPr>
        <w:widowControl w:val="0"/>
        <w:spacing w:line="480" w:lineRule="auto"/>
        <w:ind w:firstLine="720"/>
      </w:pPr>
      <w:r w:rsidRPr="000B5D65">
        <w:t>Through the use of the Concept Mastery Routine, t</w:t>
      </w:r>
      <w:r w:rsidR="001E1E15" w:rsidRPr="000B5D65">
        <w:t>he teacher and students work in partnership as t</w:t>
      </w:r>
      <w:r w:rsidRPr="000B5D65">
        <w:t>hey analyze various aspects of the major</w:t>
      </w:r>
      <w:r w:rsidR="001E1E15" w:rsidRPr="000B5D65">
        <w:t xml:space="preserve"> concept and test their understanding of the concept. To do this</w:t>
      </w:r>
      <w:r w:rsidR="00742D07" w:rsidRPr="000B5D65">
        <w:t>, the key elements associated with a given concept are explored</w:t>
      </w:r>
      <w:r w:rsidR="001E1E15" w:rsidRPr="000B5D65">
        <w:t>, including the name</w:t>
      </w:r>
      <w:r w:rsidR="00742D07" w:rsidRPr="000B5D65">
        <w:t xml:space="preserve"> of the concept (e.g., </w:t>
      </w:r>
      <w:r w:rsidRPr="000B5D65">
        <w:t>“</w:t>
      </w:r>
      <w:r w:rsidR="00742D07" w:rsidRPr="000B5D65">
        <w:t>mammal</w:t>
      </w:r>
      <w:r w:rsidRPr="000B5D65">
        <w:t>”</w:t>
      </w:r>
      <w:r w:rsidR="00742D07" w:rsidRPr="000B5D65">
        <w:t xml:space="preserve">) and the overall concept (e.g., </w:t>
      </w:r>
      <w:r w:rsidRPr="000B5D65">
        <w:t>“</w:t>
      </w:r>
      <w:r w:rsidR="00742D07" w:rsidRPr="000B5D65">
        <w:t>vertebrate</w:t>
      </w:r>
      <w:r w:rsidRPr="000B5D65">
        <w:t>”</w:t>
      </w:r>
      <w:r w:rsidR="00742D07" w:rsidRPr="000B5D65">
        <w:t xml:space="preserve">), </w:t>
      </w:r>
      <w:r w:rsidRPr="000B5D65">
        <w:t xml:space="preserve">and </w:t>
      </w:r>
      <w:r w:rsidR="00742D07" w:rsidRPr="000B5D65">
        <w:t>the characteristics that are always</w:t>
      </w:r>
      <w:r w:rsidRPr="000B5D65">
        <w:t xml:space="preserve"> (e.g., “has hair,” “</w:t>
      </w:r>
      <w:r w:rsidR="00E7394F">
        <w:t xml:space="preserve">is </w:t>
      </w:r>
      <w:r w:rsidRPr="000B5D65">
        <w:t>warm blooded”)</w:t>
      </w:r>
      <w:r w:rsidR="00742D07" w:rsidRPr="000B5D65">
        <w:t>, sometimes</w:t>
      </w:r>
      <w:r w:rsidRPr="000B5D65">
        <w:t xml:space="preserve"> (e.g.,</w:t>
      </w:r>
      <w:r w:rsidR="00F716AA">
        <w:t xml:space="preserve"> </w:t>
      </w:r>
      <w:r w:rsidRPr="000B5D65">
        <w:t>“walks on 2 legs” or “walks on 4 legs”)</w:t>
      </w:r>
      <w:r w:rsidR="00742D07" w:rsidRPr="000B5D65">
        <w:t>, a</w:t>
      </w:r>
      <w:r w:rsidRPr="000B5D65">
        <w:t>nd never present (e.g., “</w:t>
      </w:r>
      <w:r w:rsidR="00E7394F">
        <w:t xml:space="preserve">is </w:t>
      </w:r>
      <w:r w:rsidRPr="000B5D65">
        <w:t xml:space="preserve">cold blooded”) in the concept. During this discussion, the teacher models cognitive strategies for determining what kind of characteristic has been named. </w:t>
      </w:r>
      <w:r w:rsidRPr="00BA3DB2">
        <w:rPr>
          <w:b/>
          <w:bCs/>
        </w:rPr>
        <w:t>For example, the teacher might</w:t>
      </w:r>
      <w:r w:rsidR="00900F91" w:rsidRPr="00BA3DB2">
        <w:rPr>
          <w:b/>
          <w:bCs/>
        </w:rPr>
        <w:t xml:space="preserve"> model a self-questioning strategy by</w:t>
      </w:r>
      <w:r w:rsidRPr="00BA3DB2">
        <w:rPr>
          <w:b/>
          <w:bCs/>
        </w:rPr>
        <w:t xml:space="preserve"> say</w:t>
      </w:r>
      <w:r w:rsidR="00900F91" w:rsidRPr="00BA3DB2">
        <w:rPr>
          <w:b/>
          <w:bCs/>
        </w:rPr>
        <w:t>ing</w:t>
      </w:r>
      <w:r w:rsidRPr="00BA3DB2">
        <w:rPr>
          <w:b/>
          <w:bCs/>
        </w:rPr>
        <w:t>, “Let’s ask ourselves, ‘How do mammals get around?’</w:t>
      </w:r>
      <w:r w:rsidR="006F34D4" w:rsidRPr="00BA3DB2">
        <w:rPr>
          <w:b/>
          <w:bCs/>
        </w:rPr>
        <w:t>”</w:t>
      </w:r>
      <w:r w:rsidRPr="00BA3DB2">
        <w:rPr>
          <w:b/>
          <w:bCs/>
        </w:rPr>
        <w:t xml:space="preserve"> As the students suggest that mammals walk around, the teacher might ask</w:t>
      </w:r>
      <w:r w:rsidR="006F34D4" w:rsidRPr="00BA3DB2">
        <w:rPr>
          <w:b/>
          <w:bCs/>
        </w:rPr>
        <w:t>,</w:t>
      </w:r>
      <w:r w:rsidRPr="00BA3DB2">
        <w:rPr>
          <w:b/>
          <w:bCs/>
        </w:rPr>
        <w:t xml:space="preserve"> </w:t>
      </w:r>
      <w:r w:rsidR="006F34D4" w:rsidRPr="00BA3DB2">
        <w:rPr>
          <w:b/>
          <w:bCs/>
        </w:rPr>
        <w:t>“</w:t>
      </w:r>
      <w:r w:rsidR="00864507" w:rsidRPr="00BA3DB2">
        <w:rPr>
          <w:b/>
          <w:bCs/>
        </w:rPr>
        <w:t xml:space="preserve">Is this </w:t>
      </w:r>
      <w:r w:rsidRPr="00BA3DB2">
        <w:rPr>
          <w:b/>
          <w:bCs/>
        </w:rPr>
        <w:t xml:space="preserve">always or just sometimes? </w:t>
      </w:r>
      <w:r w:rsidR="00745805" w:rsidRPr="00BA3DB2">
        <w:rPr>
          <w:b/>
          <w:bCs/>
        </w:rPr>
        <w:t xml:space="preserve">Do all mammals walk? </w:t>
      </w:r>
      <w:r w:rsidRPr="00BA3DB2">
        <w:rPr>
          <w:b/>
          <w:bCs/>
        </w:rPr>
        <w:t>Can you think of a mammal that does not walk?</w:t>
      </w:r>
      <w:r w:rsidR="006F34D4" w:rsidRPr="00BA3DB2">
        <w:rPr>
          <w:b/>
          <w:bCs/>
        </w:rPr>
        <w:t>” The teacher might then model strategies for finding the answer on the Internet</w:t>
      </w:r>
      <w:r w:rsidR="00900F91" w:rsidRPr="00BA3DB2">
        <w:rPr>
          <w:b/>
          <w:bCs/>
        </w:rPr>
        <w:t xml:space="preserve"> (i.e., Googling key terms, selecting the best option that will answer the question, scanning for the answer)</w:t>
      </w:r>
      <w:r w:rsidR="006F34D4" w:rsidRPr="00BA3DB2">
        <w:rPr>
          <w:b/>
          <w:bCs/>
        </w:rPr>
        <w:t>.</w:t>
      </w:r>
      <w:r w:rsidRPr="00BA3DB2">
        <w:rPr>
          <w:b/>
          <w:bCs/>
        </w:rPr>
        <w:t xml:space="preserve"> </w:t>
      </w:r>
      <w:r w:rsidRPr="000B5D65">
        <w:t>Once a mammal is named that does not walk</w:t>
      </w:r>
      <w:r w:rsidR="00864507" w:rsidRPr="000B5D65">
        <w:t xml:space="preserve"> but swims</w:t>
      </w:r>
      <w:r w:rsidR="00E7394F">
        <w:t>, “walks,” and “swims”</w:t>
      </w:r>
      <w:r w:rsidRPr="000B5D65">
        <w:t xml:space="preserve"> might be listed as characteristics</w:t>
      </w:r>
      <w:r w:rsidR="00745805" w:rsidRPr="000B5D65">
        <w:t xml:space="preserve"> sometimes present in the concept</w:t>
      </w:r>
      <w:r w:rsidRPr="000B5D65">
        <w:t xml:space="preserve">. </w:t>
      </w:r>
      <w:r w:rsidR="006F34D4" w:rsidRPr="000B5D65">
        <w:t xml:space="preserve">As the discussion proceeds, the students might be prompted to conduct research themselves on the next issue. </w:t>
      </w:r>
      <w:r w:rsidRPr="000B5D65">
        <w:t xml:space="preserve">Next, </w:t>
      </w:r>
      <w:r w:rsidR="00742D07" w:rsidRPr="000B5D65">
        <w:t>examples and non</w:t>
      </w:r>
      <w:r w:rsidR="001E1E15" w:rsidRPr="000B5D65">
        <w:t>-</w:t>
      </w:r>
      <w:r w:rsidR="00742D07" w:rsidRPr="000B5D65">
        <w:t>examples of the concept</w:t>
      </w:r>
      <w:r w:rsidRPr="000B5D65">
        <w:t xml:space="preserve"> are determined, paying close attention to the “always” and “sometimes” characteristics that have been named (e.g.</w:t>
      </w:r>
      <w:r w:rsidR="00E7394F">
        <w:t>,</w:t>
      </w:r>
      <w:r w:rsidRPr="000B5D65">
        <w:t xml:space="preserve"> a dog might be listed as a mammal that walks, and a whale might be listed as a mammal that swims). </w:t>
      </w:r>
      <w:r w:rsidRPr="00BA3DB2">
        <w:rPr>
          <w:b/>
          <w:bCs/>
        </w:rPr>
        <w:t>Finally, the teacher models cognitive strategies for testing</w:t>
      </w:r>
      <w:r w:rsidR="00742D07" w:rsidRPr="00BA3DB2">
        <w:rPr>
          <w:b/>
          <w:bCs/>
        </w:rPr>
        <w:t xml:space="preserve"> various possible ex</w:t>
      </w:r>
      <w:r w:rsidR="006F34D4" w:rsidRPr="00BA3DB2">
        <w:rPr>
          <w:b/>
          <w:bCs/>
        </w:rPr>
        <w:t>amples of the concept</w:t>
      </w:r>
      <w:r w:rsidRPr="00BA3DB2">
        <w:rPr>
          <w:b/>
          <w:bCs/>
        </w:rPr>
        <w:t>. For instance, the teacher might posit the duckbill platypus as a possible example</w:t>
      </w:r>
      <w:r w:rsidR="006F34D4" w:rsidRPr="00BA3DB2">
        <w:rPr>
          <w:b/>
          <w:bCs/>
        </w:rPr>
        <w:t xml:space="preserve"> of a mammal</w:t>
      </w:r>
      <w:r w:rsidRPr="00BA3DB2">
        <w:rPr>
          <w:b/>
          <w:bCs/>
        </w:rPr>
        <w:t xml:space="preserve"> and show the students how </w:t>
      </w:r>
      <w:r w:rsidR="00900F91" w:rsidRPr="00BA3DB2">
        <w:rPr>
          <w:b/>
          <w:bCs/>
        </w:rPr>
        <w:t xml:space="preserve">they can use a self-questioning strategy by asking a series of questions about the </w:t>
      </w:r>
      <w:r w:rsidR="006F34D4" w:rsidRPr="00BA3DB2">
        <w:rPr>
          <w:b/>
          <w:bCs/>
        </w:rPr>
        <w:t>platypus</w:t>
      </w:r>
      <w:r w:rsidR="00900F91" w:rsidRPr="00BA3DB2">
        <w:rPr>
          <w:b/>
          <w:bCs/>
        </w:rPr>
        <w:t xml:space="preserve"> with each question relating to one “always” characteristic</w:t>
      </w:r>
      <w:r w:rsidR="006F34D4" w:rsidRPr="00BA3DB2">
        <w:rPr>
          <w:b/>
          <w:bCs/>
        </w:rPr>
        <w:t xml:space="preserve"> </w:t>
      </w:r>
      <w:r w:rsidRPr="00BA3DB2">
        <w:rPr>
          <w:b/>
          <w:bCs/>
        </w:rPr>
        <w:t xml:space="preserve">(e.g., “Does the </w:t>
      </w:r>
      <w:r w:rsidRPr="00BA3DB2">
        <w:rPr>
          <w:b/>
          <w:bCs/>
        </w:rPr>
        <w:lastRenderedPageBreak/>
        <w:t>platypus have hair?”</w:t>
      </w:r>
      <w:r w:rsidR="00E7394F" w:rsidRPr="00BA3DB2">
        <w:rPr>
          <w:b/>
          <w:bCs/>
        </w:rPr>
        <w:t>, “Does it nurse its young?</w:t>
      </w:r>
      <w:r w:rsidRPr="00BA3DB2">
        <w:rPr>
          <w:b/>
          <w:bCs/>
        </w:rPr>
        <w:t>”</w:t>
      </w:r>
      <w:r w:rsidR="00E7394F" w:rsidRPr="00BA3DB2">
        <w:rPr>
          <w:b/>
          <w:bCs/>
        </w:rPr>
        <w:t>,</w:t>
      </w:r>
      <w:r w:rsidRPr="00BA3DB2">
        <w:rPr>
          <w:b/>
          <w:bCs/>
        </w:rPr>
        <w:t xml:space="preserve"> “Is it warm blooded?</w:t>
      </w:r>
      <w:r w:rsidR="006F34D4" w:rsidRPr="00BA3DB2">
        <w:rPr>
          <w:b/>
          <w:bCs/>
        </w:rPr>
        <w:t>,</w:t>
      </w:r>
      <w:r w:rsidRPr="00BA3DB2">
        <w:rPr>
          <w:b/>
          <w:bCs/>
        </w:rPr>
        <w:t>”</w:t>
      </w:r>
      <w:r w:rsidR="006F34D4" w:rsidRPr="00BA3DB2">
        <w:rPr>
          <w:b/>
          <w:bCs/>
        </w:rPr>
        <w:t xml:space="preserve"> etc.</w:t>
      </w:r>
      <w:r w:rsidRPr="00BA3DB2">
        <w:rPr>
          <w:b/>
          <w:bCs/>
        </w:rPr>
        <w:t>)</w:t>
      </w:r>
      <w:r w:rsidR="006F34D4" w:rsidRPr="00BA3DB2">
        <w:rPr>
          <w:b/>
          <w:bCs/>
        </w:rPr>
        <w:t xml:space="preserve">. </w:t>
      </w:r>
      <w:r w:rsidR="00900F91" w:rsidRPr="00BA3DB2">
        <w:rPr>
          <w:b/>
          <w:bCs/>
        </w:rPr>
        <w:t>The teacher can also model strategies for determining the answers through research on the Internet.</w:t>
      </w:r>
      <w:r w:rsidR="00900F91">
        <w:t xml:space="preserve"> </w:t>
      </w:r>
      <w:r w:rsidR="006F34D4" w:rsidRPr="000B5D65">
        <w:t>Then</w:t>
      </w:r>
      <w:r w:rsidR="00900F91">
        <w:t>,</w:t>
      </w:r>
      <w:r w:rsidR="006F34D4" w:rsidRPr="000B5D65">
        <w:t xml:space="preserve"> as</w:t>
      </w:r>
      <w:r w:rsidRPr="000B5D65">
        <w:t xml:space="preserve"> each characteristic is researched and checked off, the decision</w:t>
      </w:r>
      <w:r w:rsidR="006F34D4" w:rsidRPr="000B5D65">
        <w:t xml:space="preserve"> should become</w:t>
      </w:r>
      <w:r w:rsidRPr="000B5D65">
        <w:t xml:space="preserve"> clear. </w:t>
      </w:r>
      <w:r w:rsidR="006F34D4" w:rsidRPr="000B5D65">
        <w:t>Additional possi</w:t>
      </w:r>
      <w:r w:rsidR="00864507" w:rsidRPr="000B5D65">
        <w:t>ble examples</w:t>
      </w:r>
      <w:r w:rsidR="006F34D4" w:rsidRPr="000B5D65">
        <w:t xml:space="preserve"> of the concept can then be posited, and the students</w:t>
      </w:r>
      <w:r w:rsidR="00864507" w:rsidRPr="000B5D65">
        <w:t xml:space="preserve"> can be given time to make</w:t>
      </w:r>
      <w:r w:rsidR="006F34D4" w:rsidRPr="000B5D65">
        <w:t xml:space="preserve"> </w:t>
      </w:r>
      <w:r w:rsidR="00864507" w:rsidRPr="000B5D65">
        <w:t>decisions about classifying them as examples or non-examples</w:t>
      </w:r>
      <w:r w:rsidR="006F34D4" w:rsidRPr="000B5D65">
        <w:t xml:space="preserve">. </w:t>
      </w:r>
      <w:r w:rsidRPr="000B5D65">
        <w:t>Throughout this</w:t>
      </w:r>
      <w:r w:rsidR="00342DBD" w:rsidRPr="000B5D65">
        <w:t xml:space="preserve"> discussion, the teacher</w:t>
      </w:r>
      <w:r w:rsidR="004708E6" w:rsidRPr="000B5D65">
        <w:t xml:space="preserve"> and students construct </w:t>
      </w:r>
      <w:r w:rsidRPr="000B5D65">
        <w:t xml:space="preserve">their own versions of </w:t>
      </w:r>
      <w:r w:rsidR="004708E6" w:rsidRPr="000B5D65">
        <w:t>a Concept Diagram</w:t>
      </w:r>
      <w:r w:rsidR="002846E4" w:rsidRPr="000B5D65">
        <w:t>, a visual device</w:t>
      </w:r>
      <w:r w:rsidR="004708E6" w:rsidRPr="000B5D65">
        <w:t xml:space="preserve"> containing all the pertinent information about the concept</w:t>
      </w:r>
      <w:r w:rsidR="00E7394F">
        <w:t>.</w:t>
      </w:r>
      <w:r w:rsidR="001E1E15" w:rsidRPr="000B5D65">
        <w:t xml:space="preserve"> (</w:t>
      </w:r>
      <w:r w:rsidR="00E7394F">
        <w:t>S</w:t>
      </w:r>
      <w:r w:rsidRPr="000B5D65">
        <w:t xml:space="preserve">ee </w:t>
      </w:r>
      <w:r w:rsidR="001E1E15" w:rsidRPr="000B5D65">
        <w:t xml:space="preserve">Figure </w:t>
      </w:r>
      <w:r w:rsidR="00900F91">
        <w:t>2</w:t>
      </w:r>
      <w:r w:rsidRPr="000B5D65">
        <w:t xml:space="preserve"> for an example</w:t>
      </w:r>
      <w:r w:rsidR="00781B31">
        <w:t xml:space="preserve">. See </w:t>
      </w:r>
      <w:proofErr w:type="spellStart"/>
      <w:r w:rsidR="00781B31">
        <w:t>Bulgren</w:t>
      </w:r>
      <w:proofErr w:type="spellEnd"/>
      <w:r w:rsidR="00781B31">
        <w:t xml:space="preserve"> et al., 1988, 1993 for other examples</w:t>
      </w:r>
      <w:r w:rsidR="001E1E15" w:rsidRPr="000B5D65">
        <w:t>)</w:t>
      </w:r>
      <w:r w:rsidR="004708E6" w:rsidRPr="000B5D65">
        <w:t>.</w:t>
      </w:r>
      <w:r w:rsidR="001E1E15" w:rsidRPr="000B5D65">
        <w:t xml:space="preserve"> Throughout the lesson, students are highly involved in the process of analyzing the concept thro</w:t>
      </w:r>
      <w:r w:rsidR="002846E4" w:rsidRPr="000B5D65">
        <w:t>ugh constant verbal interaction</w:t>
      </w:r>
      <w:r w:rsidRPr="000B5D65">
        <w:t>, as well as reading for answers and writing those answers on the diagram</w:t>
      </w:r>
      <w:r w:rsidR="002846E4" w:rsidRPr="000B5D65">
        <w:t xml:space="preserve">. Eventually, by analyzing </w:t>
      </w:r>
      <w:r w:rsidRPr="000B5D65">
        <w:t>several concepts like this, students</w:t>
      </w:r>
      <w:r w:rsidR="002846E4" w:rsidRPr="000B5D65">
        <w:t xml:space="preserve"> learn</w:t>
      </w:r>
      <w:r w:rsidRPr="000B5D65">
        <w:t xml:space="preserve"> the</w:t>
      </w:r>
      <w:r w:rsidR="006F34D4" w:rsidRPr="000B5D65">
        <w:t xml:space="preserve"> cognitive strategies involved in</w:t>
      </w:r>
      <w:r w:rsidR="002846E4" w:rsidRPr="000B5D65">
        <w:t xml:space="preserve"> analyzing</w:t>
      </w:r>
      <w:r w:rsidRPr="000B5D65">
        <w:t xml:space="preserve"> </w:t>
      </w:r>
      <w:r w:rsidR="002846E4" w:rsidRPr="000B5D65">
        <w:t xml:space="preserve">a </w:t>
      </w:r>
      <w:r w:rsidR="00323FD5" w:rsidRPr="000B5D65">
        <w:t>concept</w:t>
      </w:r>
      <w:r w:rsidR="002846E4" w:rsidRPr="000B5D65">
        <w:t xml:space="preserve">. </w:t>
      </w:r>
    </w:p>
    <w:p w14:paraId="41B5F93C" w14:textId="3226E30B" w:rsidR="00951CDA" w:rsidRPr="000B5D65" w:rsidRDefault="00ED360B" w:rsidP="00810D04">
      <w:pPr>
        <w:widowControl w:val="0"/>
        <w:spacing w:line="480" w:lineRule="auto"/>
        <w:jc w:val="center"/>
      </w:pPr>
      <w:r w:rsidRPr="000B5D65">
        <w:t xml:space="preserve">Insert Figure </w:t>
      </w:r>
      <w:r w:rsidR="00900F91">
        <w:t>2</w:t>
      </w:r>
      <w:r w:rsidR="00053628" w:rsidRPr="000B5D65">
        <w:t xml:space="preserve"> </w:t>
      </w:r>
      <w:r w:rsidR="00CD0769" w:rsidRPr="000B5D65">
        <w:t xml:space="preserve">about </w:t>
      </w:r>
      <w:r w:rsidR="00053628" w:rsidRPr="000B5D65">
        <w:t>here</w:t>
      </w:r>
    </w:p>
    <w:p w14:paraId="6EB67989" w14:textId="4E5177CB" w:rsidR="006D750E" w:rsidRPr="000B5D65" w:rsidRDefault="0043156F" w:rsidP="00810D04">
      <w:pPr>
        <w:widowControl w:val="0"/>
        <w:spacing w:line="480" w:lineRule="auto"/>
        <w:rPr>
          <w:b/>
          <w:i/>
          <w:lang w:eastAsia="ja-JP"/>
        </w:rPr>
      </w:pPr>
      <w:r w:rsidRPr="000B5D65">
        <w:rPr>
          <w:b/>
          <w:i/>
          <w:lang w:eastAsia="ja-JP"/>
        </w:rPr>
        <w:t xml:space="preserve">The </w:t>
      </w:r>
      <w:r w:rsidR="006D750E" w:rsidRPr="000B5D65">
        <w:rPr>
          <w:b/>
          <w:i/>
          <w:lang w:eastAsia="ja-JP"/>
        </w:rPr>
        <w:t>Original Validation S</w:t>
      </w:r>
      <w:r w:rsidRPr="000B5D65">
        <w:rPr>
          <w:b/>
          <w:i/>
          <w:lang w:eastAsia="ja-JP"/>
        </w:rPr>
        <w:t>tudy</w:t>
      </w:r>
      <w:r w:rsidR="00D32545" w:rsidRPr="000B5D65">
        <w:rPr>
          <w:b/>
          <w:i/>
          <w:lang w:eastAsia="ja-JP"/>
        </w:rPr>
        <w:t xml:space="preserve"> for the Concept Mastery Routine</w:t>
      </w:r>
    </w:p>
    <w:p w14:paraId="39C286C1" w14:textId="052D2182" w:rsidR="005175C6" w:rsidRPr="000B5D65" w:rsidRDefault="005175C6" w:rsidP="00810D04">
      <w:pPr>
        <w:widowControl w:val="0"/>
        <w:spacing w:line="480" w:lineRule="auto"/>
        <w:ind w:firstLine="720"/>
        <w:rPr>
          <w:lang w:eastAsia="ja-JP"/>
        </w:rPr>
      </w:pPr>
      <w:proofErr w:type="spellStart"/>
      <w:r w:rsidRPr="000B5D65">
        <w:rPr>
          <w:lang w:eastAsia="ja-JP"/>
        </w:rPr>
        <w:t>Bulgren</w:t>
      </w:r>
      <w:proofErr w:type="spellEnd"/>
      <w:r w:rsidR="006D750E" w:rsidRPr="000B5D65">
        <w:rPr>
          <w:lang w:eastAsia="ja-JP"/>
        </w:rPr>
        <w:t xml:space="preserve"> et al.</w:t>
      </w:r>
      <w:r w:rsidRPr="000B5D65">
        <w:rPr>
          <w:lang w:eastAsia="ja-JP"/>
        </w:rPr>
        <w:t xml:space="preserve"> (1988) investigated the effects of teacher use of the Concept Mastery Routine on students’ test performance in </w:t>
      </w:r>
      <w:r w:rsidR="00470263">
        <w:rPr>
          <w:lang w:eastAsia="ja-JP"/>
        </w:rPr>
        <w:t xml:space="preserve">secondary </w:t>
      </w:r>
      <w:r w:rsidRPr="000B5D65">
        <w:rPr>
          <w:lang w:eastAsia="ja-JP"/>
        </w:rPr>
        <w:t>general education classes. Nine science and social studies</w:t>
      </w:r>
      <w:r w:rsidR="00B945F1" w:rsidRPr="000B5D65">
        <w:rPr>
          <w:lang w:eastAsia="ja-JP"/>
        </w:rPr>
        <w:t xml:space="preserve"> high-</w:t>
      </w:r>
      <w:r w:rsidR="00B559F1" w:rsidRPr="000B5D65">
        <w:rPr>
          <w:lang w:eastAsia="ja-JP"/>
        </w:rPr>
        <w:t>school</w:t>
      </w:r>
      <w:r w:rsidRPr="000B5D65">
        <w:rPr>
          <w:lang w:eastAsia="ja-JP"/>
        </w:rPr>
        <w:t xml:space="preserve"> teachers learned</w:t>
      </w:r>
      <w:r w:rsidR="00B559F1" w:rsidRPr="000B5D65">
        <w:rPr>
          <w:lang w:eastAsia="ja-JP"/>
        </w:rPr>
        <w:t xml:space="preserve"> how to use the routine and implemented</w:t>
      </w:r>
      <w:r w:rsidRPr="000B5D65">
        <w:rPr>
          <w:lang w:eastAsia="ja-JP"/>
        </w:rPr>
        <w:t xml:space="preserve"> it for o</w:t>
      </w:r>
      <w:r w:rsidR="00E41FD2" w:rsidRPr="000B5D65">
        <w:rPr>
          <w:lang w:eastAsia="ja-JP"/>
        </w:rPr>
        <w:t>ne concept at the beginning of</w:t>
      </w:r>
      <w:r w:rsidR="00B945F1" w:rsidRPr="000B5D65">
        <w:rPr>
          <w:lang w:eastAsia="ja-JP"/>
        </w:rPr>
        <w:t xml:space="preserve"> each course</w:t>
      </w:r>
      <w:r w:rsidRPr="000B5D65">
        <w:rPr>
          <w:lang w:eastAsia="ja-JP"/>
        </w:rPr>
        <w:t xml:space="preserve"> unit. Four hundred seventy-five high s</w:t>
      </w:r>
      <w:r w:rsidR="00E7394F">
        <w:rPr>
          <w:lang w:eastAsia="ja-JP"/>
        </w:rPr>
        <w:t>chool students enrolled in the teachers’</w:t>
      </w:r>
      <w:r w:rsidR="00470263">
        <w:rPr>
          <w:lang w:eastAsia="ja-JP"/>
        </w:rPr>
        <w:t xml:space="preserve"> </w:t>
      </w:r>
      <w:r w:rsidR="00470263" w:rsidRPr="00D728D7">
        <w:rPr>
          <w:b/>
          <w:bCs/>
          <w:lang w:eastAsia="ja-JP"/>
        </w:rPr>
        <w:t>9th through 12</w:t>
      </w:r>
      <w:r w:rsidR="00470263" w:rsidRPr="00D728D7">
        <w:rPr>
          <w:b/>
          <w:bCs/>
          <w:vertAlign w:val="superscript"/>
          <w:lang w:eastAsia="ja-JP"/>
        </w:rPr>
        <w:t>th</w:t>
      </w:r>
      <w:r w:rsidR="00470263" w:rsidRPr="00D728D7">
        <w:rPr>
          <w:b/>
          <w:bCs/>
          <w:lang w:eastAsia="ja-JP"/>
        </w:rPr>
        <w:t>-grade</w:t>
      </w:r>
      <w:r w:rsidRPr="000B5D65">
        <w:rPr>
          <w:lang w:eastAsia="ja-JP"/>
        </w:rPr>
        <w:t xml:space="preserve"> </w:t>
      </w:r>
      <w:r w:rsidR="00BA516A" w:rsidRPr="000B5D65">
        <w:rPr>
          <w:lang w:eastAsia="ja-JP"/>
        </w:rPr>
        <w:t xml:space="preserve">inclusive </w:t>
      </w:r>
      <w:r w:rsidRPr="000B5D65">
        <w:rPr>
          <w:lang w:eastAsia="ja-JP"/>
        </w:rPr>
        <w:t>classes participated in the study. Thirty-two of these students had learning disabilities</w:t>
      </w:r>
      <w:r w:rsidR="006D750E" w:rsidRPr="000B5D65">
        <w:rPr>
          <w:lang w:eastAsia="ja-JP"/>
        </w:rPr>
        <w:t xml:space="preserve"> (LD)</w:t>
      </w:r>
      <w:r w:rsidRPr="000B5D65">
        <w:rPr>
          <w:lang w:eastAsia="ja-JP"/>
        </w:rPr>
        <w:t>. A multiple-baseline across-teachers design was used with the teachers; a multiple-baseline across-classes design w</w:t>
      </w:r>
      <w:r w:rsidR="00A62D6E" w:rsidRPr="000B5D65">
        <w:rPr>
          <w:lang w:eastAsia="ja-JP"/>
        </w:rPr>
        <w:t>as employed with the students. Scores on t</w:t>
      </w:r>
      <w:r w:rsidRPr="000B5D65">
        <w:rPr>
          <w:lang w:eastAsia="ja-JP"/>
        </w:rPr>
        <w:t>wo types of tests were used as student</w:t>
      </w:r>
      <w:r w:rsidR="00A62D6E" w:rsidRPr="000B5D65">
        <w:rPr>
          <w:lang w:eastAsia="ja-JP"/>
        </w:rPr>
        <w:t xml:space="preserve"> outcome measures</w:t>
      </w:r>
      <w:r w:rsidR="00AD252E" w:rsidRPr="000B5D65">
        <w:rPr>
          <w:lang w:eastAsia="ja-JP"/>
        </w:rPr>
        <w:t>: (a</w:t>
      </w:r>
      <w:r w:rsidRPr="000B5D65">
        <w:rPr>
          <w:lang w:eastAsia="ja-JP"/>
        </w:rPr>
        <w:t>) researcher-made tests tha</w:t>
      </w:r>
      <w:r w:rsidR="00A074DD" w:rsidRPr="000B5D65">
        <w:rPr>
          <w:lang w:eastAsia="ja-JP"/>
        </w:rPr>
        <w:t>t focused on the taught concept in each unit; and (b) publisher-made tests corresponding to each unit in the textbook</w:t>
      </w:r>
      <w:r w:rsidRPr="000B5D65">
        <w:rPr>
          <w:lang w:eastAsia="ja-JP"/>
        </w:rPr>
        <w:t xml:space="preserve">. Both types of tests were administered at the end of each unit. </w:t>
      </w:r>
      <w:r w:rsidR="00367CEF" w:rsidRPr="000B5D65">
        <w:rPr>
          <w:lang w:eastAsia="ja-JP"/>
        </w:rPr>
        <w:t xml:space="preserve">One unique aspect of this study relates </w:t>
      </w:r>
      <w:r w:rsidR="00B945F1" w:rsidRPr="000B5D65">
        <w:rPr>
          <w:lang w:eastAsia="ja-JP"/>
        </w:rPr>
        <w:t>to the multiple-baseline across-</w:t>
      </w:r>
      <w:r w:rsidR="00367CEF" w:rsidRPr="000B5D65">
        <w:rPr>
          <w:lang w:eastAsia="ja-JP"/>
        </w:rPr>
        <w:t xml:space="preserve">classes design </w:t>
      </w:r>
      <w:r w:rsidR="00367CEF" w:rsidRPr="000B5D65">
        <w:rPr>
          <w:lang w:eastAsia="ja-JP"/>
        </w:rPr>
        <w:lastRenderedPageBreak/>
        <w:t>whereby test scores were collected across time. Another unique aspect was the use of the publisher-made tests, which is a measure of real-world student outcomes that is rarely used</w:t>
      </w:r>
      <w:r w:rsidR="00B945F1" w:rsidRPr="000B5D65">
        <w:rPr>
          <w:lang w:eastAsia="ja-JP"/>
        </w:rPr>
        <w:t xml:space="preserve"> in research studies</w:t>
      </w:r>
      <w:r w:rsidR="00367CEF" w:rsidRPr="000B5D65">
        <w:rPr>
          <w:lang w:eastAsia="ja-JP"/>
        </w:rPr>
        <w:t>.</w:t>
      </w:r>
    </w:p>
    <w:p w14:paraId="5E7720D7" w14:textId="45720017" w:rsidR="005175C6" w:rsidRPr="000B5D65" w:rsidRDefault="005175C6" w:rsidP="00810D04">
      <w:pPr>
        <w:widowControl w:val="0"/>
        <w:spacing w:line="480" w:lineRule="auto"/>
        <w:ind w:firstLine="720"/>
        <w:rPr>
          <w:lang w:eastAsia="ja-JP"/>
        </w:rPr>
      </w:pPr>
      <w:r w:rsidRPr="000B5D65">
        <w:rPr>
          <w:lang w:eastAsia="ja-JP"/>
        </w:rPr>
        <w:t>Results indicated that the teachers learned to use the routine at mastery levels</w:t>
      </w:r>
      <w:r w:rsidR="006D750E" w:rsidRPr="000B5D65">
        <w:rPr>
          <w:lang w:eastAsia="ja-JP"/>
        </w:rPr>
        <w:t xml:space="preserve"> (80% implementation or above)</w:t>
      </w:r>
      <w:r w:rsidR="00B559F1" w:rsidRPr="000B5D65">
        <w:rPr>
          <w:lang w:eastAsia="ja-JP"/>
        </w:rPr>
        <w:t xml:space="preserve"> after</w:t>
      </w:r>
      <w:r w:rsidRPr="000B5D65">
        <w:rPr>
          <w:lang w:eastAsia="ja-JP"/>
        </w:rPr>
        <w:t xml:space="preserve"> three hours of in</w:t>
      </w:r>
      <w:r w:rsidR="00AD252E" w:rsidRPr="000B5D65">
        <w:rPr>
          <w:lang w:eastAsia="ja-JP"/>
        </w:rPr>
        <w:t>struction. Their students earned</w:t>
      </w:r>
      <w:r w:rsidRPr="000B5D65">
        <w:rPr>
          <w:lang w:eastAsia="ja-JP"/>
        </w:rPr>
        <w:t xml:space="preserve"> significantly higher</w:t>
      </w:r>
      <w:r w:rsidR="00AD252E" w:rsidRPr="000B5D65">
        <w:rPr>
          <w:lang w:eastAsia="ja-JP"/>
        </w:rPr>
        <w:t xml:space="preserve"> scores</w:t>
      </w:r>
      <w:r w:rsidRPr="000B5D65">
        <w:rPr>
          <w:lang w:eastAsia="ja-JP"/>
        </w:rPr>
        <w:t xml:space="preserve"> on both publisher-made classroom tests and researcher-constructed concept acquisition tests in science and social studies classes </w:t>
      </w:r>
      <w:r w:rsidRPr="00FE608C">
        <w:rPr>
          <w:b/>
          <w:bCs/>
          <w:lang w:eastAsia="ja-JP"/>
        </w:rPr>
        <w:t>when the</w:t>
      </w:r>
      <w:r w:rsidR="00D160E1" w:rsidRPr="00FE608C">
        <w:rPr>
          <w:b/>
          <w:bCs/>
          <w:lang w:eastAsia="ja-JP"/>
        </w:rPr>
        <w:t xml:space="preserve"> teachers began to use the</w:t>
      </w:r>
      <w:r w:rsidRPr="00FE608C">
        <w:rPr>
          <w:b/>
          <w:bCs/>
          <w:lang w:eastAsia="ja-JP"/>
        </w:rPr>
        <w:t xml:space="preserve"> routine  </w:t>
      </w:r>
      <w:r w:rsidR="00E41FD2" w:rsidRPr="00FE608C">
        <w:rPr>
          <w:b/>
          <w:bCs/>
          <w:lang w:eastAsia="ja-JP"/>
        </w:rPr>
        <w:t xml:space="preserve">at the beginning of each unit, </w:t>
      </w:r>
      <w:r w:rsidRPr="00FE608C">
        <w:rPr>
          <w:b/>
          <w:bCs/>
          <w:lang w:eastAsia="ja-JP"/>
        </w:rPr>
        <w:t xml:space="preserve">versus when </w:t>
      </w:r>
      <w:r w:rsidR="00B559F1" w:rsidRPr="00FE608C">
        <w:rPr>
          <w:b/>
          <w:bCs/>
          <w:lang w:eastAsia="ja-JP"/>
        </w:rPr>
        <w:t>instruction proceeded as usual</w:t>
      </w:r>
      <w:r w:rsidR="00AD252E" w:rsidRPr="00FE608C">
        <w:rPr>
          <w:b/>
          <w:bCs/>
          <w:lang w:eastAsia="ja-JP"/>
        </w:rPr>
        <w:t xml:space="preserve"> </w:t>
      </w:r>
      <w:r w:rsidR="00D160E1" w:rsidRPr="00FE608C">
        <w:rPr>
          <w:b/>
          <w:bCs/>
          <w:lang w:eastAsia="ja-JP"/>
        </w:rPr>
        <w:t xml:space="preserve">in baseline </w:t>
      </w:r>
      <w:r w:rsidR="00AD252E" w:rsidRPr="00FE608C">
        <w:rPr>
          <w:b/>
          <w:bCs/>
          <w:lang w:eastAsia="ja-JP"/>
        </w:rPr>
        <w:t xml:space="preserve">(i.e., </w:t>
      </w:r>
      <w:r w:rsidR="00D160E1" w:rsidRPr="00FE608C">
        <w:rPr>
          <w:b/>
          <w:bCs/>
          <w:lang w:eastAsia="ja-JP"/>
        </w:rPr>
        <w:t>when teachers used</w:t>
      </w:r>
      <w:r w:rsidR="00AD252E" w:rsidRPr="00FE608C">
        <w:rPr>
          <w:b/>
          <w:bCs/>
          <w:lang w:eastAsia="ja-JP"/>
        </w:rPr>
        <w:t xml:space="preserve"> the lecture/discussion method</w:t>
      </w:r>
      <w:r w:rsidR="00E41FD2" w:rsidRPr="00FE608C">
        <w:rPr>
          <w:b/>
          <w:bCs/>
          <w:lang w:eastAsia="ja-JP"/>
        </w:rPr>
        <w:t xml:space="preserve"> throughout </w:t>
      </w:r>
      <w:r w:rsidR="00D160E1" w:rsidRPr="00FE608C">
        <w:rPr>
          <w:b/>
          <w:bCs/>
          <w:lang w:eastAsia="ja-JP"/>
        </w:rPr>
        <w:t xml:space="preserve">each </w:t>
      </w:r>
      <w:r w:rsidR="00E41FD2" w:rsidRPr="00FE608C">
        <w:rPr>
          <w:b/>
          <w:bCs/>
          <w:lang w:eastAsia="ja-JP"/>
        </w:rPr>
        <w:t>unit</w:t>
      </w:r>
      <w:r w:rsidR="00AD252E" w:rsidRPr="00FE608C">
        <w:rPr>
          <w:b/>
          <w:bCs/>
          <w:lang w:eastAsia="ja-JP"/>
        </w:rPr>
        <w:t>)</w:t>
      </w:r>
      <w:r w:rsidR="00FE608C">
        <w:rPr>
          <w:b/>
          <w:bCs/>
          <w:lang w:eastAsia="ja-JP"/>
        </w:rPr>
        <w:t xml:space="preserve">. </w:t>
      </w:r>
      <w:r w:rsidR="00FE608C" w:rsidRPr="00FE608C">
        <w:rPr>
          <w:b/>
          <w:bCs/>
          <w:lang w:eastAsia="ja-JP"/>
        </w:rPr>
        <w:t>S</w:t>
      </w:r>
      <w:r w:rsidR="00B559F1" w:rsidRPr="00FE608C">
        <w:rPr>
          <w:b/>
          <w:bCs/>
          <w:lang w:eastAsia="ja-JP"/>
        </w:rPr>
        <w:t>tudent</w:t>
      </w:r>
      <w:r w:rsidR="008D6CE4" w:rsidRPr="00FE608C">
        <w:rPr>
          <w:b/>
          <w:bCs/>
          <w:lang w:eastAsia="ja-JP"/>
        </w:rPr>
        <w:t xml:space="preserve"> improvement </w:t>
      </w:r>
      <w:r w:rsidR="00B559F1" w:rsidRPr="00FE608C">
        <w:rPr>
          <w:b/>
          <w:bCs/>
          <w:lang w:eastAsia="ja-JP"/>
        </w:rPr>
        <w:t xml:space="preserve">in scores </w:t>
      </w:r>
      <w:r w:rsidR="008D6CE4" w:rsidRPr="00FE608C">
        <w:rPr>
          <w:b/>
          <w:bCs/>
          <w:lang w:eastAsia="ja-JP"/>
        </w:rPr>
        <w:t xml:space="preserve">occurred </w:t>
      </w:r>
      <w:r w:rsidR="00FE608C" w:rsidRPr="00FE608C">
        <w:rPr>
          <w:b/>
          <w:bCs/>
          <w:lang w:eastAsia="ja-JP"/>
        </w:rPr>
        <w:t>only after a teacher began to use the routine</w:t>
      </w:r>
      <w:r w:rsidR="008D6CE4" w:rsidRPr="00FE608C">
        <w:rPr>
          <w:b/>
          <w:bCs/>
          <w:lang w:eastAsia="ja-JP"/>
        </w:rPr>
        <w:t xml:space="preserve"> in the multiple-baseline design</w:t>
      </w:r>
      <w:r w:rsidRPr="00FE608C">
        <w:rPr>
          <w:b/>
          <w:bCs/>
          <w:lang w:eastAsia="ja-JP"/>
        </w:rPr>
        <w:t>.</w:t>
      </w:r>
      <w:r w:rsidRPr="000B5D65">
        <w:rPr>
          <w:lang w:eastAsia="ja-JP"/>
        </w:rPr>
        <w:t xml:space="preserve"> </w:t>
      </w:r>
      <w:r w:rsidR="00FE608C">
        <w:rPr>
          <w:lang w:eastAsia="ja-JP"/>
        </w:rPr>
        <w:t xml:space="preserve">See </w:t>
      </w:r>
      <w:r w:rsidR="008D6CE4" w:rsidRPr="000B5D65">
        <w:rPr>
          <w:lang w:eastAsia="ja-JP"/>
        </w:rPr>
        <w:t xml:space="preserve">Table 1 </w:t>
      </w:r>
      <w:r w:rsidR="00FE608C">
        <w:rPr>
          <w:lang w:eastAsia="ja-JP"/>
        </w:rPr>
        <w:t>for a</w:t>
      </w:r>
      <w:r w:rsidR="008D6CE4" w:rsidRPr="000B5D65">
        <w:rPr>
          <w:lang w:eastAsia="ja-JP"/>
        </w:rPr>
        <w:t xml:space="preserve"> summary of </w:t>
      </w:r>
      <w:r w:rsidR="003206C9" w:rsidRPr="000B5D65">
        <w:rPr>
          <w:lang w:eastAsia="ja-JP"/>
        </w:rPr>
        <w:t xml:space="preserve">the mean scores during baseline and during </w:t>
      </w:r>
      <w:r w:rsidR="00FE608C">
        <w:rPr>
          <w:lang w:eastAsia="ja-JP"/>
        </w:rPr>
        <w:t xml:space="preserve">routine usage </w:t>
      </w:r>
      <w:r w:rsidR="003206C9" w:rsidRPr="000B5D65">
        <w:rPr>
          <w:lang w:eastAsia="ja-JP"/>
        </w:rPr>
        <w:t xml:space="preserve">for students with and without disabilities. It also shows the results of statistical comparisons between baseline and </w:t>
      </w:r>
      <w:r w:rsidR="00FE608C">
        <w:rPr>
          <w:lang w:eastAsia="ja-JP"/>
        </w:rPr>
        <w:t>routine usage</w:t>
      </w:r>
      <w:r w:rsidR="003206C9" w:rsidRPr="000B5D65">
        <w:rPr>
          <w:lang w:eastAsia="ja-JP"/>
        </w:rPr>
        <w:t xml:space="preserve"> scores for each group of students. The differences were statistically significant, and t</w:t>
      </w:r>
      <w:r w:rsidR="008D6CE4" w:rsidRPr="000B5D65">
        <w:rPr>
          <w:lang w:eastAsia="ja-JP"/>
        </w:rPr>
        <w:t xml:space="preserve">he effect sizes were </w:t>
      </w:r>
      <w:r w:rsidR="00B945F1" w:rsidRPr="000B5D65">
        <w:rPr>
          <w:lang w:eastAsia="ja-JP"/>
        </w:rPr>
        <w:t>very large</w:t>
      </w:r>
      <w:r w:rsidR="003206C9" w:rsidRPr="000B5D65">
        <w:rPr>
          <w:lang w:eastAsia="ja-JP"/>
        </w:rPr>
        <w:t xml:space="preserve"> for each group for each type of test</w:t>
      </w:r>
      <w:r w:rsidR="00B945F1" w:rsidRPr="000B5D65">
        <w:rPr>
          <w:lang w:eastAsia="ja-JP"/>
        </w:rPr>
        <w:t xml:space="preserve">. </w:t>
      </w:r>
      <w:r w:rsidR="002846E4" w:rsidRPr="000B5D65">
        <w:rPr>
          <w:lang w:eastAsia="ja-JP"/>
        </w:rPr>
        <w:t>On average, experimental students with LD were scoring 15 points higher on the tests than the control students with LD</w:t>
      </w:r>
      <w:r w:rsidR="00FE608C">
        <w:rPr>
          <w:lang w:eastAsia="ja-JP"/>
        </w:rPr>
        <w:t xml:space="preserve"> during the routine usage condition</w:t>
      </w:r>
      <w:r w:rsidR="002846E4" w:rsidRPr="000B5D65">
        <w:rPr>
          <w:lang w:eastAsia="ja-JP"/>
        </w:rPr>
        <w:t xml:space="preserve">, and their average score was in the passing range (71%). </w:t>
      </w:r>
      <w:r w:rsidRPr="000B5D65">
        <w:rPr>
          <w:lang w:eastAsia="ja-JP"/>
        </w:rPr>
        <w:t xml:space="preserve">Moreover, 57% of the </w:t>
      </w:r>
      <w:r w:rsidR="00EB49DC" w:rsidRPr="000B5D65">
        <w:rPr>
          <w:lang w:eastAsia="ja-JP"/>
        </w:rPr>
        <w:t xml:space="preserve">experimental </w:t>
      </w:r>
      <w:r w:rsidRPr="000B5D65">
        <w:rPr>
          <w:lang w:eastAsia="ja-JP"/>
        </w:rPr>
        <w:t>students with LD and 68% of the</w:t>
      </w:r>
      <w:r w:rsidR="00665378" w:rsidRPr="000B5D65">
        <w:rPr>
          <w:lang w:eastAsia="ja-JP"/>
        </w:rPr>
        <w:t xml:space="preserve"> experimental</w:t>
      </w:r>
      <w:r w:rsidRPr="000B5D65">
        <w:rPr>
          <w:lang w:eastAsia="ja-JP"/>
        </w:rPr>
        <w:t xml:space="preserve"> non-LD students were passing the regularly scheduled unit tests </w:t>
      </w:r>
      <w:r w:rsidR="00B72798" w:rsidRPr="000B5D65">
        <w:rPr>
          <w:lang w:eastAsia="ja-JP"/>
        </w:rPr>
        <w:t xml:space="preserve">constructed by </w:t>
      </w:r>
      <w:r w:rsidR="002846E4" w:rsidRPr="000B5D65">
        <w:rPr>
          <w:lang w:eastAsia="ja-JP"/>
        </w:rPr>
        <w:t>the textbook publisher</w:t>
      </w:r>
      <w:r w:rsidR="00B72798" w:rsidRPr="000B5D65">
        <w:rPr>
          <w:lang w:eastAsia="ja-JP"/>
        </w:rPr>
        <w:t xml:space="preserve"> </w:t>
      </w:r>
      <w:r w:rsidRPr="000B5D65">
        <w:rPr>
          <w:lang w:eastAsia="ja-JP"/>
        </w:rPr>
        <w:t xml:space="preserve">before the intervention, and 75% of the </w:t>
      </w:r>
      <w:r w:rsidR="00665378" w:rsidRPr="000B5D65">
        <w:rPr>
          <w:lang w:eastAsia="ja-JP"/>
        </w:rPr>
        <w:t xml:space="preserve">experimental </w:t>
      </w:r>
      <w:r w:rsidRPr="000B5D65">
        <w:rPr>
          <w:lang w:eastAsia="ja-JP"/>
        </w:rPr>
        <w:t xml:space="preserve">LD students and 97% of the </w:t>
      </w:r>
      <w:r w:rsidR="00665378" w:rsidRPr="000B5D65">
        <w:rPr>
          <w:lang w:eastAsia="ja-JP"/>
        </w:rPr>
        <w:t xml:space="preserve">experimental </w:t>
      </w:r>
      <w:r w:rsidRPr="000B5D65">
        <w:rPr>
          <w:lang w:eastAsia="ja-JP"/>
        </w:rPr>
        <w:t xml:space="preserve">non-LD students were passing </w:t>
      </w:r>
      <w:r w:rsidR="002846E4" w:rsidRPr="000B5D65">
        <w:rPr>
          <w:lang w:eastAsia="ja-JP"/>
        </w:rPr>
        <w:t>these</w:t>
      </w:r>
      <w:r w:rsidRPr="000B5D65">
        <w:rPr>
          <w:lang w:eastAsia="ja-JP"/>
        </w:rPr>
        <w:t xml:space="preserve"> tests after the intervention.</w:t>
      </w:r>
      <w:r w:rsidR="008D6CE4" w:rsidRPr="000B5D65">
        <w:rPr>
          <w:lang w:eastAsia="ja-JP"/>
        </w:rPr>
        <w:t xml:space="preserve"> </w:t>
      </w:r>
      <w:r w:rsidR="00B559F1" w:rsidRPr="000B5D65">
        <w:rPr>
          <w:lang w:eastAsia="ja-JP"/>
        </w:rPr>
        <w:t>Thus, the students were more able to retain unit information after being introduced to a foundational concept through the use of the routine than they were when they received unit information through the lecture</w:t>
      </w:r>
      <w:r w:rsidR="00AD252E" w:rsidRPr="000B5D65">
        <w:rPr>
          <w:lang w:eastAsia="ja-JP"/>
        </w:rPr>
        <w:t>/discussion</w:t>
      </w:r>
      <w:r w:rsidR="00B559F1" w:rsidRPr="000B5D65">
        <w:rPr>
          <w:lang w:eastAsia="ja-JP"/>
        </w:rPr>
        <w:t xml:space="preserve"> method. </w:t>
      </w:r>
      <w:r w:rsidR="00FE608C">
        <w:rPr>
          <w:lang w:eastAsia="ja-JP"/>
        </w:rPr>
        <w:t xml:space="preserve">The lecture discussion method was chosen as the </w:t>
      </w:r>
      <w:r w:rsidR="002E1DEF">
        <w:rPr>
          <w:lang w:eastAsia="ja-JP"/>
        </w:rPr>
        <w:t xml:space="preserve">instructional method to be used in baseline because it is the most common form of instruction </w:t>
      </w:r>
      <w:r w:rsidR="002E1DEF">
        <w:rPr>
          <w:lang w:eastAsia="ja-JP"/>
        </w:rPr>
        <w:lastRenderedPageBreak/>
        <w:t>used in general education subject-area courses (</w:t>
      </w:r>
      <w:proofErr w:type="spellStart"/>
      <w:r w:rsidR="00DC7C94">
        <w:rPr>
          <w:lang w:eastAsia="ja-JP"/>
        </w:rPr>
        <w:t>Moin</w:t>
      </w:r>
      <w:proofErr w:type="spellEnd"/>
      <w:r w:rsidR="00DC7C94">
        <w:rPr>
          <w:lang w:eastAsia="ja-JP"/>
        </w:rPr>
        <w:t xml:space="preserve"> et al., 2009).</w:t>
      </w:r>
      <w:r w:rsidR="00B559F1" w:rsidRPr="000B5D65">
        <w:rPr>
          <w:lang w:eastAsia="ja-JP"/>
        </w:rPr>
        <w:t xml:space="preserve"> </w:t>
      </w:r>
    </w:p>
    <w:p w14:paraId="4B333FAF" w14:textId="2A5D8CB6" w:rsidR="00053628" w:rsidRPr="000B5D65" w:rsidRDefault="00053628" w:rsidP="00810D04">
      <w:pPr>
        <w:widowControl w:val="0"/>
        <w:spacing w:line="480" w:lineRule="auto"/>
        <w:jc w:val="center"/>
        <w:rPr>
          <w:lang w:eastAsia="ja-JP"/>
        </w:rPr>
      </w:pPr>
      <w:r w:rsidRPr="000B5D65">
        <w:rPr>
          <w:lang w:eastAsia="ja-JP"/>
        </w:rPr>
        <w:t xml:space="preserve">Insert Table 1 </w:t>
      </w:r>
      <w:r w:rsidR="00CD0769" w:rsidRPr="000B5D65">
        <w:rPr>
          <w:lang w:eastAsia="ja-JP"/>
        </w:rPr>
        <w:t xml:space="preserve">about </w:t>
      </w:r>
      <w:r w:rsidRPr="000B5D65">
        <w:rPr>
          <w:lang w:eastAsia="ja-JP"/>
        </w:rPr>
        <w:t>here</w:t>
      </w:r>
    </w:p>
    <w:p w14:paraId="661928D2" w14:textId="71AD5DD4" w:rsidR="0043156F" w:rsidRPr="000B5D65" w:rsidRDefault="0043156F" w:rsidP="00810D04">
      <w:pPr>
        <w:widowControl w:val="0"/>
        <w:spacing w:line="480" w:lineRule="auto"/>
        <w:rPr>
          <w:b/>
        </w:rPr>
      </w:pPr>
      <w:r w:rsidRPr="000B5D65">
        <w:rPr>
          <w:b/>
        </w:rPr>
        <w:t>The Concept Comparison Routine</w:t>
      </w:r>
    </w:p>
    <w:p w14:paraId="27104A3E" w14:textId="77777777" w:rsidR="0096756D" w:rsidRPr="000B5D65" w:rsidRDefault="0096756D" w:rsidP="00810D04">
      <w:pPr>
        <w:widowControl w:val="0"/>
        <w:spacing w:line="480" w:lineRule="auto"/>
        <w:rPr>
          <w:b/>
          <w:i/>
        </w:rPr>
      </w:pPr>
      <w:r w:rsidRPr="000B5D65">
        <w:rPr>
          <w:b/>
          <w:i/>
        </w:rPr>
        <w:t>The R</w:t>
      </w:r>
      <w:r w:rsidR="004665DD" w:rsidRPr="000B5D65">
        <w:rPr>
          <w:b/>
          <w:i/>
        </w:rPr>
        <w:t>outine</w:t>
      </w:r>
      <w:r w:rsidRPr="000B5D65">
        <w:rPr>
          <w:b/>
          <w:i/>
        </w:rPr>
        <w:t xml:space="preserve"> Itself</w:t>
      </w:r>
      <w:r w:rsidR="004665DD" w:rsidRPr="000B5D65">
        <w:rPr>
          <w:b/>
          <w:i/>
        </w:rPr>
        <w:t xml:space="preserve"> </w:t>
      </w:r>
    </w:p>
    <w:p w14:paraId="4FDBB21A" w14:textId="08B49943" w:rsidR="00342DBD" w:rsidRPr="000B5D65" w:rsidRDefault="004665DD" w:rsidP="00810D04">
      <w:pPr>
        <w:widowControl w:val="0"/>
        <w:spacing w:line="480" w:lineRule="auto"/>
        <w:ind w:firstLine="720"/>
      </w:pPr>
      <w:r w:rsidRPr="000B5D65">
        <w:t xml:space="preserve">The Concept Comparison Routine </w:t>
      </w:r>
      <w:r w:rsidR="00245FBF" w:rsidRPr="000B5D65">
        <w:t>(</w:t>
      </w:r>
      <w:proofErr w:type="spellStart"/>
      <w:r w:rsidR="00245FBF" w:rsidRPr="000B5D65">
        <w:t>Bulgren</w:t>
      </w:r>
      <w:proofErr w:type="spellEnd"/>
      <w:r w:rsidR="0096756D" w:rsidRPr="000B5D65">
        <w:t xml:space="preserve"> et al.,</w:t>
      </w:r>
      <w:r w:rsidR="00245FBF" w:rsidRPr="000B5D65">
        <w:t xml:space="preserve"> 1995) </w:t>
      </w:r>
      <w:r w:rsidRPr="000B5D65">
        <w:t>was designed to help students understand the relation</w:t>
      </w:r>
      <w:r w:rsidR="0096756D" w:rsidRPr="000B5D65">
        <w:t xml:space="preserve">ships between two new concepts and </w:t>
      </w:r>
      <w:r w:rsidRPr="000B5D65">
        <w:t>particularly how the concepts are similar and different.</w:t>
      </w:r>
      <w:r w:rsidR="00245FBF" w:rsidRPr="000B5D65">
        <w:t xml:space="preserve"> For example, a teacher of a literature course might wish to compare and contrast the concepts “</w:t>
      </w:r>
      <w:r w:rsidR="00245FBF" w:rsidRPr="000B5D65">
        <w:rPr>
          <w:i/>
        </w:rPr>
        <w:t>tragedy</w:t>
      </w:r>
      <w:r w:rsidR="00245FBF" w:rsidRPr="000B5D65">
        <w:t>” and “</w:t>
      </w:r>
      <w:r w:rsidR="00245FBF" w:rsidRPr="000B5D65">
        <w:rPr>
          <w:i/>
        </w:rPr>
        <w:t>comedy</w:t>
      </w:r>
      <w:r w:rsidR="00245FBF" w:rsidRPr="000B5D65">
        <w:t>.” A teacher of a government course might wish to compare and contrast the concepts “</w:t>
      </w:r>
      <w:r w:rsidR="00245FBF" w:rsidRPr="000B5D65">
        <w:rPr>
          <w:i/>
        </w:rPr>
        <w:t>socialism</w:t>
      </w:r>
      <w:r w:rsidR="00245FBF" w:rsidRPr="000B5D65">
        <w:t>” and “</w:t>
      </w:r>
      <w:r w:rsidR="00245FBF" w:rsidRPr="000B5D65">
        <w:rPr>
          <w:i/>
        </w:rPr>
        <w:t>communism</w:t>
      </w:r>
      <w:r w:rsidR="00245FBF" w:rsidRPr="000B5D65">
        <w:t xml:space="preserve">.” </w:t>
      </w:r>
      <w:r w:rsidR="00900F91">
        <w:t xml:space="preserve">A teacher of a math course might wish to compare and contrast the concepts of </w:t>
      </w:r>
      <w:r w:rsidR="00CB1AD3">
        <w:t xml:space="preserve">“linear equation” and “quadratic equation. </w:t>
      </w:r>
      <w:r w:rsidR="00245FBF" w:rsidRPr="000B5D65">
        <w:t>To do this, the teacher begins by naming the two new concepts</w:t>
      </w:r>
      <w:r w:rsidR="001F6545" w:rsidRPr="000B5D65">
        <w:t xml:space="preserve"> (e.g., “</w:t>
      </w:r>
      <w:r w:rsidR="001F6545" w:rsidRPr="000B5D65">
        <w:rPr>
          <w:i/>
        </w:rPr>
        <w:t>birds</w:t>
      </w:r>
      <w:r w:rsidR="001F6545" w:rsidRPr="000B5D65">
        <w:t>” and “</w:t>
      </w:r>
      <w:r w:rsidR="001F6545" w:rsidRPr="000B5D65">
        <w:rPr>
          <w:i/>
        </w:rPr>
        <w:t>mammals</w:t>
      </w:r>
      <w:r w:rsidR="001F6545" w:rsidRPr="000B5D65">
        <w:t>”) and the overall concept (e.g., “</w:t>
      </w:r>
      <w:r w:rsidR="001F6545" w:rsidRPr="000B5D65">
        <w:rPr>
          <w:i/>
        </w:rPr>
        <w:t>vertebrates</w:t>
      </w:r>
      <w:r w:rsidR="001F6545" w:rsidRPr="000B5D65">
        <w:t>”)</w:t>
      </w:r>
      <w:r w:rsidR="00245FBF" w:rsidRPr="000B5D65">
        <w:t xml:space="preserve">. </w:t>
      </w:r>
      <w:r w:rsidR="001F6545" w:rsidRPr="000B5D65">
        <w:t>Next</w:t>
      </w:r>
      <w:r w:rsidR="00CB1AD3">
        <w:t>,</w:t>
      </w:r>
      <w:r w:rsidR="001F6545" w:rsidRPr="000B5D65">
        <w:t xml:space="preserve"> the teacher and students explore</w:t>
      </w:r>
      <w:r w:rsidR="00CB1AD3">
        <w:t xml:space="preserve"> and list</w:t>
      </w:r>
      <w:r w:rsidR="001F6545" w:rsidRPr="000B5D65">
        <w:t xml:space="preserve"> the major characteristics associated with each concept (e.g., for </w:t>
      </w:r>
      <w:r w:rsidR="0096756D" w:rsidRPr="000B5D65">
        <w:t>“</w:t>
      </w:r>
      <w:r w:rsidR="0096756D" w:rsidRPr="000B5D65">
        <w:rPr>
          <w:i/>
        </w:rPr>
        <w:t>birds</w:t>
      </w:r>
      <w:r w:rsidR="00C2254E" w:rsidRPr="000B5D65">
        <w:rPr>
          <w:i/>
        </w:rPr>
        <w:t>:</w:t>
      </w:r>
      <w:r w:rsidR="00C2254E" w:rsidRPr="000B5D65">
        <w:t>”</w:t>
      </w:r>
      <w:r w:rsidR="001F6545" w:rsidRPr="000B5D65">
        <w:t xml:space="preserve"> </w:t>
      </w:r>
      <w:r w:rsidR="00B945F1" w:rsidRPr="000B5D65">
        <w:t xml:space="preserve">are </w:t>
      </w:r>
      <w:r w:rsidR="001F6545" w:rsidRPr="000B5D65">
        <w:t xml:space="preserve">warm blooded, </w:t>
      </w:r>
      <w:r w:rsidR="003C22B6" w:rsidRPr="000B5D65">
        <w:t xml:space="preserve">have a </w:t>
      </w:r>
      <w:r w:rsidR="001F6545" w:rsidRPr="000B5D65">
        <w:t>backbone</w:t>
      </w:r>
      <w:r w:rsidR="0096756D" w:rsidRPr="000B5D65">
        <w:t>, have feathers</w:t>
      </w:r>
      <w:r w:rsidR="001F6545" w:rsidRPr="000B5D65">
        <w:t xml:space="preserve">; for </w:t>
      </w:r>
      <w:r w:rsidR="0096756D" w:rsidRPr="000B5D65">
        <w:t>“</w:t>
      </w:r>
      <w:r w:rsidR="001F6545" w:rsidRPr="000B5D65">
        <w:rPr>
          <w:i/>
        </w:rPr>
        <w:t>mammals</w:t>
      </w:r>
      <w:r w:rsidR="00C2254E" w:rsidRPr="000B5D65">
        <w:rPr>
          <w:i/>
        </w:rPr>
        <w:t>:</w:t>
      </w:r>
      <w:r w:rsidR="0096756D" w:rsidRPr="000B5D65">
        <w:t>”</w:t>
      </w:r>
      <w:r w:rsidR="001F6545" w:rsidRPr="000B5D65">
        <w:t xml:space="preserve"> </w:t>
      </w:r>
      <w:r w:rsidR="00B945F1" w:rsidRPr="000B5D65">
        <w:t xml:space="preserve">are </w:t>
      </w:r>
      <w:r w:rsidR="001F6545" w:rsidRPr="000B5D65">
        <w:t xml:space="preserve">warm blooded, </w:t>
      </w:r>
      <w:r w:rsidR="003C22B6" w:rsidRPr="000B5D65">
        <w:t xml:space="preserve">have a </w:t>
      </w:r>
      <w:r w:rsidR="001F6545" w:rsidRPr="000B5D65">
        <w:t>backbone</w:t>
      </w:r>
      <w:r w:rsidR="0096756D" w:rsidRPr="000B5D65">
        <w:t>, have fur</w:t>
      </w:r>
      <w:r w:rsidR="001F6545" w:rsidRPr="000B5D65">
        <w:t xml:space="preserve">). From here, </w:t>
      </w:r>
      <w:r w:rsidR="001F6545" w:rsidRPr="00BA3DB2">
        <w:rPr>
          <w:b/>
          <w:bCs/>
        </w:rPr>
        <w:t>the</w:t>
      </w:r>
      <w:r w:rsidR="003C22B6" w:rsidRPr="00BA3DB2">
        <w:rPr>
          <w:b/>
          <w:bCs/>
        </w:rPr>
        <w:t xml:space="preserve"> teacher prompts the</w:t>
      </w:r>
      <w:r w:rsidR="001F6545" w:rsidRPr="00BA3DB2">
        <w:rPr>
          <w:b/>
          <w:bCs/>
        </w:rPr>
        <w:t xml:space="preserve"> students</w:t>
      </w:r>
      <w:r w:rsidR="003C22B6" w:rsidRPr="00BA3DB2">
        <w:rPr>
          <w:b/>
          <w:bCs/>
        </w:rPr>
        <w:t xml:space="preserve"> to</w:t>
      </w:r>
      <w:r w:rsidR="001F6545" w:rsidRPr="00BA3DB2">
        <w:rPr>
          <w:b/>
          <w:bCs/>
        </w:rPr>
        <w:t xml:space="preserve"> identify which characteristics are shared </w:t>
      </w:r>
      <w:r w:rsidR="0096756D" w:rsidRPr="00BA3DB2">
        <w:rPr>
          <w:b/>
          <w:bCs/>
        </w:rPr>
        <w:t>(e.g., “</w:t>
      </w:r>
      <w:r w:rsidR="00270093" w:rsidRPr="00BA3DB2">
        <w:rPr>
          <w:b/>
          <w:bCs/>
        </w:rPr>
        <w:t xml:space="preserve">are </w:t>
      </w:r>
      <w:r w:rsidR="0096756D" w:rsidRPr="00BA3DB2">
        <w:rPr>
          <w:b/>
          <w:bCs/>
        </w:rPr>
        <w:t>warm blooded”</w:t>
      </w:r>
      <w:r w:rsidR="00CB1AD3" w:rsidRPr="00BA3DB2">
        <w:rPr>
          <w:b/>
          <w:bCs/>
        </w:rPr>
        <w:t xml:space="preserve"> and “have a back bone”</w:t>
      </w:r>
      <w:r w:rsidR="0096756D" w:rsidRPr="00BA3DB2">
        <w:rPr>
          <w:b/>
          <w:bCs/>
        </w:rPr>
        <w:t xml:space="preserve">) </w:t>
      </w:r>
      <w:r w:rsidR="001F6545" w:rsidRPr="00BA3DB2">
        <w:rPr>
          <w:b/>
          <w:bCs/>
        </w:rPr>
        <w:t>and not shared</w:t>
      </w:r>
      <w:r w:rsidR="0096756D" w:rsidRPr="00BA3DB2">
        <w:rPr>
          <w:b/>
          <w:bCs/>
        </w:rPr>
        <w:t xml:space="preserve"> (“have feathers” and “have fur”)</w:t>
      </w:r>
      <w:r w:rsidR="003C22B6" w:rsidRPr="00BA3DB2">
        <w:rPr>
          <w:b/>
          <w:bCs/>
        </w:rPr>
        <w:t xml:space="preserve"> between the two concepts, modeling for the students how to </w:t>
      </w:r>
      <w:r w:rsidR="00CB1AD3" w:rsidRPr="00BA3DB2">
        <w:rPr>
          <w:b/>
          <w:bCs/>
        </w:rPr>
        <w:t>use a self-questioning strategy to pose questions to themselves</w:t>
      </w:r>
      <w:r w:rsidR="003C22B6" w:rsidRPr="00BA3DB2">
        <w:rPr>
          <w:b/>
          <w:bCs/>
        </w:rPr>
        <w:t>. Next, the teacher models for the students how to</w:t>
      </w:r>
      <w:r w:rsidR="001F6545" w:rsidRPr="00BA3DB2">
        <w:rPr>
          <w:b/>
          <w:bCs/>
        </w:rPr>
        <w:t xml:space="preserve"> create categories that describe the similar and dissimilar cha</w:t>
      </w:r>
      <w:r w:rsidR="00270093" w:rsidRPr="00BA3DB2">
        <w:rPr>
          <w:b/>
          <w:bCs/>
        </w:rPr>
        <w:t>racteristics (e.g.,</w:t>
      </w:r>
      <w:r w:rsidR="003C22B6" w:rsidRPr="00BA3DB2">
        <w:rPr>
          <w:b/>
          <w:bCs/>
        </w:rPr>
        <w:t xml:space="preserve"> for </w:t>
      </w:r>
      <w:r w:rsidR="009D361B" w:rsidRPr="00BA3DB2">
        <w:rPr>
          <w:b/>
          <w:bCs/>
        </w:rPr>
        <w:t>“</w:t>
      </w:r>
      <w:r w:rsidR="003C22B6" w:rsidRPr="00BA3DB2">
        <w:rPr>
          <w:b/>
          <w:bCs/>
        </w:rPr>
        <w:t>warm-blooded</w:t>
      </w:r>
      <w:r w:rsidR="009D361B" w:rsidRPr="00BA3DB2">
        <w:rPr>
          <w:b/>
          <w:bCs/>
        </w:rPr>
        <w:t>”</w:t>
      </w:r>
      <w:r w:rsidR="003C22B6" w:rsidRPr="00BA3DB2">
        <w:rPr>
          <w:b/>
          <w:bCs/>
        </w:rPr>
        <w:t xml:space="preserve"> the category is</w:t>
      </w:r>
      <w:r w:rsidR="0096756D" w:rsidRPr="00BA3DB2">
        <w:rPr>
          <w:b/>
          <w:bCs/>
        </w:rPr>
        <w:t xml:space="preserve"> </w:t>
      </w:r>
      <w:r w:rsidR="009D361B" w:rsidRPr="00BA3DB2">
        <w:rPr>
          <w:b/>
          <w:bCs/>
        </w:rPr>
        <w:t>“</w:t>
      </w:r>
      <w:r w:rsidR="001F6545" w:rsidRPr="00BA3DB2">
        <w:rPr>
          <w:b/>
          <w:bCs/>
        </w:rPr>
        <w:t>how body temperature is regulated</w:t>
      </w:r>
      <w:r w:rsidR="003C22B6" w:rsidRPr="00BA3DB2">
        <w:rPr>
          <w:b/>
          <w:bCs/>
        </w:rPr>
        <w:t>”) and then prompts them to create additional categories. Finally, the teacher and students work together to</w:t>
      </w:r>
      <w:r w:rsidR="00BA3DB2">
        <w:rPr>
          <w:b/>
          <w:bCs/>
        </w:rPr>
        <w:t xml:space="preserve"> use a summarizing strategy to</w:t>
      </w:r>
      <w:r w:rsidR="001F6545" w:rsidRPr="00BA3DB2">
        <w:rPr>
          <w:b/>
          <w:bCs/>
        </w:rPr>
        <w:t xml:space="preserve"> create a summary of their understanding of the similarities and differences between the two concepts. </w:t>
      </w:r>
      <w:r w:rsidR="00CB1AD3" w:rsidRPr="00BA3DB2">
        <w:t xml:space="preserve">The teacher models </w:t>
      </w:r>
      <w:r w:rsidR="00BA3DB2" w:rsidRPr="00BA3DB2">
        <w:t>this</w:t>
      </w:r>
      <w:r w:rsidR="00CB1AD3" w:rsidRPr="00BA3DB2">
        <w:t xml:space="preserve"> strategy </w:t>
      </w:r>
      <w:r w:rsidR="00BA3DB2" w:rsidRPr="00BA3DB2">
        <w:t>while</w:t>
      </w:r>
      <w:r w:rsidR="00CB1AD3" w:rsidRPr="00BA3DB2">
        <w:t xml:space="preserve"> writing a complete sentence about each comparison and each contrast and then prompts the students to </w:t>
      </w:r>
      <w:r w:rsidR="00CB1AD3" w:rsidRPr="00BA3DB2">
        <w:lastRenderedPageBreak/>
        <w:t>contribute sentences</w:t>
      </w:r>
      <w:r w:rsidR="00BA3DB2" w:rsidRPr="00BA3DB2">
        <w:t xml:space="preserve"> to the summary</w:t>
      </w:r>
      <w:r w:rsidR="00CB1AD3" w:rsidRPr="00BA3DB2">
        <w:t xml:space="preserve">. </w:t>
      </w:r>
      <w:r w:rsidR="00342DBD" w:rsidRPr="000B5D65">
        <w:t>During the discussion, the teacher and students construct a</w:t>
      </w:r>
      <w:r w:rsidR="0096756D" w:rsidRPr="000B5D65">
        <w:t xml:space="preserve"> visual device called a</w:t>
      </w:r>
      <w:r w:rsidR="00342DBD" w:rsidRPr="000B5D65">
        <w:t xml:space="preserve"> </w:t>
      </w:r>
      <w:r w:rsidR="0096756D" w:rsidRPr="000B5D65">
        <w:t>“</w:t>
      </w:r>
      <w:r w:rsidR="00342DBD" w:rsidRPr="000B5D65">
        <w:t>Comparison</w:t>
      </w:r>
      <w:r w:rsidR="00754943" w:rsidRPr="000B5D65">
        <w:t xml:space="preserve"> Table</w:t>
      </w:r>
      <w:r w:rsidR="0096756D" w:rsidRPr="000B5D65">
        <w:t>”</w:t>
      </w:r>
      <w:r w:rsidR="00342DBD" w:rsidRPr="000B5D65">
        <w:t xml:space="preserve"> containing all the pertinent information about the two concepts.</w:t>
      </w:r>
      <w:r w:rsidR="009D361B" w:rsidRPr="000B5D65">
        <w:t xml:space="preserve"> (See Figure </w:t>
      </w:r>
      <w:r w:rsidR="00B75ED8">
        <w:t>3</w:t>
      </w:r>
      <w:r w:rsidR="00E7394F">
        <w:t xml:space="preserve"> for an example</w:t>
      </w:r>
      <w:r w:rsidR="009D361B" w:rsidRPr="000B5D65">
        <w:t>.</w:t>
      </w:r>
      <w:r w:rsidR="00781B31">
        <w:t xml:space="preserve"> See </w:t>
      </w:r>
      <w:proofErr w:type="spellStart"/>
      <w:r w:rsidR="00781B31">
        <w:t>Bulgren</w:t>
      </w:r>
      <w:proofErr w:type="spellEnd"/>
      <w:r w:rsidR="00781B31">
        <w:t xml:space="preserve"> et al., 1995, 2002 for other examples.</w:t>
      </w:r>
      <w:r w:rsidR="00E7394F">
        <w:t>)</w:t>
      </w:r>
      <w:r w:rsidR="002846E4" w:rsidRPr="000B5D65">
        <w:t xml:space="preserve"> Th</w:t>
      </w:r>
      <w:r w:rsidR="00CB1AD3">
        <w:t>us, th</w:t>
      </w:r>
      <w:r w:rsidR="002846E4" w:rsidRPr="000B5D65">
        <w:t>rough this proces</w:t>
      </w:r>
      <w:r w:rsidR="003C22B6" w:rsidRPr="000B5D65">
        <w:t>s, the students learn cognitive strategies</w:t>
      </w:r>
      <w:r w:rsidR="002846E4" w:rsidRPr="000B5D65">
        <w:t xml:space="preserve"> </w:t>
      </w:r>
      <w:r w:rsidR="003C22B6" w:rsidRPr="000B5D65">
        <w:t>for</w:t>
      </w:r>
      <w:r w:rsidR="002846E4" w:rsidRPr="000B5D65">
        <w:t xml:space="preserve"> comparing and contrasting two concepts and their characteristics. </w:t>
      </w:r>
    </w:p>
    <w:p w14:paraId="27E5A66A" w14:textId="39B4AAE6" w:rsidR="00053628" w:rsidRPr="000B5D65" w:rsidRDefault="00053628" w:rsidP="00810D04">
      <w:pPr>
        <w:widowControl w:val="0"/>
        <w:spacing w:line="480" w:lineRule="auto"/>
        <w:jc w:val="center"/>
      </w:pPr>
      <w:r w:rsidRPr="000B5D65">
        <w:t xml:space="preserve">Insert Figure </w:t>
      </w:r>
      <w:r w:rsidR="00B75ED8">
        <w:t>3</w:t>
      </w:r>
      <w:r w:rsidRPr="000B5D65">
        <w:t xml:space="preserve"> </w:t>
      </w:r>
      <w:r w:rsidR="00CD0769" w:rsidRPr="000B5D65">
        <w:t xml:space="preserve">about </w:t>
      </w:r>
      <w:r w:rsidRPr="000B5D65">
        <w:t>here</w:t>
      </w:r>
    </w:p>
    <w:p w14:paraId="585E4550" w14:textId="564F3881" w:rsidR="008C31DF" w:rsidRPr="000B5D65" w:rsidRDefault="0043156F" w:rsidP="00810D04">
      <w:pPr>
        <w:widowControl w:val="0"/>
        <w:spacing w:line="480" w:lineRule="auto"/>
        <w:ind w:hanging="90"/>
        <w:rPr>
          <w:i/>
        </w:rPr>
      </w:pPr>
      <w:r w:rsidRPr="000B5D65">
        <w:rPr>
          <w:b/>
          <w:i/>
        </w:rPr>
        <w:t xml:space="preserve">The </w:t>
      </w:r>
      <w:r w:rsidR="008C31DF" w:rsidRPr="000B5D65">
        <w:rPr>
          <w:b/>
          <w:i/>
        </w:rPr>
        <w:t>Original Validation S</w:t>
      </w:r>
      <w:r w:rsidRPr="000B5D65">
        <w:rPr>
          <w:b/>
          <w:i/>
        </w:rPr>
        <w:t>tudy</w:t>
      </w:r>
      <w:r w:rsidRPr="000B5D65">
        <w:rPr>
          <w:i/>
        </w:rPr>
        <w:t xml:space="preserve"> </w:t>
      </w:r>
      <w:r w:rsidR="00D32545" w:rsidRPr="000B5D65">
        <w:rPr>
          <w:b/>
          <w:i/>
        </w:rPr>
        <w:t>for the Concept Comparison Routine</w:t>
      </w:r>
    </w:p>
    <w:p w14:paraId="6E3FEB82" w14:textId="05251C6A" w:rsidR="0043156F" w:rsidRPr="000B5D65" w:rsidRDefault="0043156F" w:rsidP="00810D04">
      <w:pPr>
        <w:widowControl w:val="0"/>
        <w:spacing w:line="480" w:lineRule="auto"/>
        <w:ind w:firstLine="720"/>
      </w:pPr>
      <w:proofErr w:type="spellStart"/>
      <w:r w:rsidRPr="000B5D65">
        <w:t>Bulgren</w:t>
      </w:r>
      <w:proofErr w:type="spellEnd"/>
      <w:r w:rsidR="008C31DF" w:rsidRPr="000B5D65">
        <w:t xml:space="preserve"> et al.</w:t>
      </w:r>
      <w:r w:rsidRPr="000B5D65">
        <w:t xml:space="preserve"> (2002) investigated the effects of use of the Concept Comparison Routine on secondary student learning of science content</w:t>
      </w:r>
      <w:r w:rsidR="00FE608C">
        <w:t xml:space="preserve">, </w:t>
      </w:r>
      <w:r w:rsidR="00FE608C" w:rsidRPr="00E26178">
        <w:rPr>
          <w:b/>
          <w:bCs/>
        </w:rPr>
        <w:t>using a randomized control design</w:t>
      </w:r>
      <w:r w:rsidRPr="00E26178">
        <w:rPr>
          <w:b/>
          <w:bCs/>
        </w:rPr>
        <w:t>.</w:t>
      </w:r>
      <w:r w:rsidRPr="000B5D65">
        <w:t xml:space="preserve"> The instruct</w:t>
      </w:r>
      <w:r w:rsidR="009D361B" w:rsidRPr="000B5D65">
        <w:t xml:space="preserve">ion was provided by </w:t>
      </w:r>
      <w:proofErr w:type="spellStart"/>
      <w:r w:rsidR="009D361B" w:rsidRPr="000B5D65">
        <w:t>Bulgren</w:t>
      </w:r>
      <w:proofErr w:type="spellEnd"/>
      <w:r w:rsidR="00D32545" w:rsidRPr="000B5D65">
        <w:t xml:space="preserve"> in all the classes</w:t>
      </w:r>
      <w:r w:rsidRPr="000B5D65">
        <w:t xml:space="preserve">. A total of 107 students enrolled in </w:t>
      </w:r>
      <w:r w:rsidRPr="00091145">
        <w:rPr>
          <w:b/>
          <w:bCs/>
        </w:rPr>
        <w:t>7</w:t>
      </w:r>
      <w:r w:rsidRPr="00091145">
        <w:rPr>
          <w:b/>
          <w:bCs/>
          <w:vertAlign w:val="superscript"/>
        </w:rPr>
        <w:t>th</w:t>
      </w:r>
      <w:r w:rsidRPr="00091145">
        <w:rPr>
          <w:b/>
          <w:bCs/>
        </w:rPr>
        <w:t>-, 8</w:t>
      </w:r>
      <w:r w:rsidRPr="00091145">
        <w:rPr>
          <w:b/>
          <w:bCs/>
          <w:vertAlign w:val="superscript"/>
        </w:rPr>
        <w:t>th</w:t>
      </w:r>
      <w:r w:rsidRPr="00091145">
        <w:rPr>
          <w:b/>
          <w:bCs/>
        </w:rPr>
        <w:t>-, 10</w:t>
      </w:r>
      <w:r w:rsidRPr="00091145">
        <w:rPr>
          <w:b/>
          <w:bCs/>
          <w:vertAlign w:val="superscript"/>
        </w:rPr>
        <w:t>th</w:t>
      </w:r>
      <w:r w:rsidRPr="00091145">
        <w:rPr>
          <w:b/>
          <w:bCs/>
        </w:rPr>
        <w:t>-, 11</w:t>
      </w:r>
      <w:r w:rsidRPr="00091145">
        <w:rPr>
          <w:b/>
          <w:bCs/>
          <w:vertAlign w:val="superscript"/>
        </w:rPr>
        <w:t>th</w:t>
      </w:r>
      <w:r w:rsidRPr="00091145">
        <w:rPr>
          <w:b/>
          <w:bCs/>
        </w:rPr>
        <w:t>-, and 12</w:t>
      </w:r>
      <w:r w:rsidRPr="00091145">
        <w:rPr>
          <w:b/>
          <w:bCs/>
          <w:vertAlign w:val="superscript"/>
        </w:rPr>
        <w:t>th</w:t>
      </w:r>
      <w:r w:rsidRPr="00091145">
        <w:rPr>
          <w:b/>
          <w:bCs/>
        </w:rPr>
        <w:t>-gra</w:t>
      </w:r>
      <w:r w:rsidRPr="000B5D65">
        <w:t xml:space="preserve">de </w:t>
      </w:r>
      <w:r w:rsidR="00BA516A" w:rsidRPr="000B5D65">
        <w:t xml:space="preserve">inclusive </w:t>
      </w:r>
      <w:r w:rsidRPr="000B5D65">
        <w:t>science classes participated. They were randomly assigned within their classes to participate in either an experimental</w:t>
      </w:r>
      <w:r w:rsidR="00270093" w:rsidRPr="000B5D65">
        <w:t xml:space="preserve"> group</w:t>
      </w:r>
      <w:r w:rsidRPr="000B5D65">
        <w:t xml:space="preserve"> or control group within designated subgroups: </w:t>
      </w:r>
      <w:r w:rsidRPr="008532B3">
        <w:rPr>
          <w:b/>
          <w:bCs/>
        </w:rPr>
        <w:t>high achievers, normal achievers, low achievers, and students with</w:t>
      </w:r>
      <w:r w:rsidR="008532B3">
        <w:rPr>
          <w:b/>
          <w:bCs/>
        </w:rPr>
        <w:t xml:space="preserve"> learning disabilities</w:t>
      </w:r>
      <w:r w:rsidRPr="008532B3">
        <w:rPr>
          <w:b/>
          <w:bCs/>
        </w:rPr>
        <w:t xml:space="preserve"> </w:t>
      </w:r>
      <w:r w:rsidR="008532B3">
        <w:rPr>
          <w:b/>
          <w:bCs/>
        </w:rPr>
        <w:t>(</w:t>
      </w:r>
      <w:r w:rsidR="008C31DF" w:rsidRPr="008532B3">
        <w:rPr>
          <w:b/>
          <w:bCs/>
        </w:rPr>
        <w:t>LD</w:t>
      </w:r>
      <w:r w:rsidR="008532B3">
        <w:rPr>
          <w:b/>
          <w:bCs/>
        </w:rPr>
        <w:t>)</w:t>
      </w:r>
      <w:r w:rsidRPr="000B5D65">
        <w:t>. Fifty-five students were in the experimental group; 52 students were in the control group. A lesson on two diseases, “</w:t>
      </w:r>
      <w:r w:rsidRPr="000B5D65">
        <w:rPr>
          <w:i/>
        </w:rPr>
        <w:t>malaria</w:t>
      </w:r>
      <w:r w:rsidRPr="000B5D65">
        <w:t>” and “</w:t>
      </w:r>
      <w:r w:rsidRPr="000B5D65">
        <w:rPr>
          <w:i/>
        </w:rPr>
        <w:t>snail fever</w:t>
      </w:r>
      <w:r w:rsidR="00C2254E" w:rsidRPr="000B5D65">
        <w:t>,” was taught to the students. The Concept Comparison Routine was used to teach e</w:t>
      </w:r>
      <w:r w:rsidRPr="000B5D65">
        <w:t xml:space="preserve">xperimental students </w:t>
      </w:r>
      <w:r w:rsidR="00C2254E" w:rsidRPr="000B5D65">
        <w:t xml:space="preserve">a lesson on </w:t>
      </w:r>
      <w:r w:rsidRPr="000B5D65">
        <w:t>comparing and contrasting the two diseases. Control students were taught the same lesson with the same cont</w:t>
      </w:r>
      <w:r w:rsidR="00C2254E" w:rsidRPr="000B5D65">
        <w:t>ent using a traditional lecture/</w:t>
      </w:r>
      <w:r w:rsidRPr="000B5D65">
        <w:t xml:space="preserve">discussion method. </w:t>
      </w:r>
      <w:r w:rsidR="00A074DD" w:rsidRPr="000B5D65">
        <w:t>Both lessons were designed by the researchers to contain the same content. The same</w:t>
      </w:r>
      <w:r w:rsidRPr="000B5D65">
        <w:t xml:space="preserve"> test, </w:t>
      </w:r>
      <w:r w:rsidR="00A074DD" w:rsidRPr="000B5D65">
        <w:t xml:space="preserve">designed by the researchers and </w:t>
      </w:r>
      <w:r w:rsidRPr="000B5D65">
        <w:t>comprised of open-ended and objective questions</w:t>
      </w:r>
      <w:r w:rsidR="009D361B" w:rsidRPr="000B5D65">
        <w:t xml:space="preserve">, was given to all students on the </w:t>
      </w:r>
      <w:r w:rsidRPr="000B5D65">
        <w:t>next day.</w:t>
      </w:r>
    </w:p>
    <w:p w14:paraId="46A227F1" w14:textId="002CFD4D" w:rsidR="008303AA" w:rsidRPr="000B5D65" w:rsidRDefault="008303AA" w:rsidP="00810D04">
      <w:pPr>
        <w:widowControl w:val="0"/>
        <w:spacing w:line="480" w:lineRule="auto"/>
        <w:jc w:val="center"/>
      </w:pPr>
      <w:r w:rsidRPr="000B5D65">
        <w:t>Insert Table 2</w:t>
      </w:r>
      <w:r w:rsidR="00CD0769" w:rsidRPr="000B5D65">
        <w:t xml:space="preserve"> about</w:t>
      </w:r>
      <w:r w:rsidRPr="000B5D65">
        <w:t xml:space="preserve"> here</w:t>
      </w:r>
    </w:p>
    <w:p w14:paraId="253AD7A9" w14:textId="44756A88" w:rsidR="0043156F" w:rsidRPr="000B5D65" w:rsidRDefault="00D32545" w:rsidP="00810D04">
      <w:pPr>
        <w:widowControl w:val="0"/>
        <w:spacing w:line="480" w:lineRule="auto"/>
        <w:ind w:firstLine="720"/>
      </w:pPr>
      <w:r w:rsidRPr="000B5D65">
        <w:t>Table 2 shows the mean total test scores for the whole groups of stud</w:t>
      </w:r>
      <w:r w:rsidR="00E7394F">
        <w:t>ents as well a</w:t>
      </w:r>
      <w:r w:rsidR="00CE0B6C">
        <w:t>s</w:t>
      </w:r>
      <w:r w:rsidR="00E7394F">
        <w:t xml:space="preserve"> the </w:t>
      </w:r>
      <w:r w:rsidR="00CE0B6C" w:rsidRPr="00CE0B6C">
        <w:rPr>
          <w:b/>
          <w:bCs/>
        </w:rPr>
        <w:t>low achiever</w:t>
      </w:r>
      <w:r w:rsidR="00E7394F" w:rsidRPr="00CE0B6C">
        <w:rPr>
          <w:b/>
          <w:bCs/>
        </w:rPr>
        <w:t xml:space="preserve">s, </w:t>
      </w:r>
      <w:r w:rsidR="00CE0B6C" w:rsidRPr="00CE0B6C">
        <w:rPr>
          <w:b/>
          <w:bCs/>
        </w:rPr>
        <w:t>normal achiever</w:t>
      </w:r>
      <w:r w:rsidR="00E7394F" w:rsidRPr="00CE0B6C">
        <w:rPr>
          <w:b/>
          <w:bCs/>
        </w:rPr>
        <w:t xml:space="preserve">s, </w:t>
      </w:r>
      <w:r w:rsidR="00CE0B6C" w:rsidRPr="00CE0B6C">
        <w:rPr>
          <w:b/>
          <w:bCs/>
        </w:rPr>
        <w:t>high achiever</w:t>
      </w:r>
      <w:r w:rsidRPr="00CE0B6C">
        <w:rPr>
          <w:b/>
          <w:bCs/>
        </w:rPr>
        <w:t>s,</w:t>
      </w:r>
      <w:r w:rsidRPr="000B5D65">
        <w:t xml:space="preserve"> and students with LD. A statistical comparison revealed </w:t>
      </w:r>
      <w:r w:rsidR="0043156F" w:rsidRPr="000B5D65">
        <w:t>a sig</w:t>
      </w:r>
      <w:r w:rsidR="001741B0" w:rsidRPr="000B5D65">
        <w:t xml:space="preserve">nificant difference between the </w:t>
      </w:r>
      <w:r w:rsidR="004D3061" w:rsidRPr="000B5D65">
        <w:t xml:space="preserve">test </w:t>
      </w:r>
      <w:r w:rsidR="001741B0" w:rsidRPr="000B5D65">
        <w:t xml:space="preserve">scores of the whole group of </w:t>
      </w:r>
      <w:r w:rsidR="0043156F" w:rsidRPr="000B5D65">
        <w:lastRenderedPageBreak/>
        <w:t>experimental</w:t>
      </w:r>
      <w:r w:rsidR="001741B0" w:rsidRPr="000B5D65">
        <w:t xml:space="preserve"> students and the whole group</w:t>
      </w:r>
      <w:r w:rsidR="0043156F" w:rsidRPr="000B5D65">
        <w:t xml:space="preserve"> </w:t>
      </w:r>
      <w:r w:rsidR="00EA0D53" w:rsidRPr="000B5D65">
        <w:t>of control students</w:t>
      </w:r>
      <w:r w:rsidR="004D3061" w:rsidRPr="000B5D65">
        <w:t xml:space="preserve">. </w:t>
      </w:r>
      <w:r w:rsidR="0043156F" w:rsidRPr="000B5D65">
        <w:t xml:space="preserve">Moreover, a significant difference was found between the </w:t>
      </w:r>
      <w:r w:rsidR="004D3061" w:rsidRPr="000B5D65">
        <w:t>test</w:t>
      </w:r>
      <w:r w:rsidRPr="000B5D65">
        <w:t xml:space="preserve"> </w:t>
      </w:r>
      <w:r w:rsidR="0043156F" w:rsidRPr="000B5D65">
        <w:t>scores of the students with LD in the experimental</w:t>
      </w:r>
      <w:r w:rsidR="009D361B" w:rsidRPr="000B5D65">
        <w:t xml:space="preserve"> group and in the control group.</w:t>
      </w:r>
      <w:r w:rsidR="00FF4025" w:rsidRPr="000B5D65">
        <w:t xml:space="preserve"> Both</w:t>
      </w:r>
      <w:r w:rsidR="00B559F1" w:rsidRPr="000B5D65">
        <w:t xml:space="preserve"> effect sizes were large. Although a</w:t>
      </w:r>
      <w:r w:rsidR="0043156F" w:rsidRPr="000B5D65">
        <w:t xml:space="preserve"> significant difference was </w:t>
      </w:r>
      <w:r w:rsidR="00B559F1" w:rsidRPr="000B5D65">
        <w:t>not</w:t>
      </w:r>
      <w:r w:rsidR="0043156F" w:rsidRPr="000B5D65">
        <w:t xml:space="preserve"> found between the scores of the</w:t>
      </w:r>
      <w:r w:rsidR="00CE0B6C">
        <w:t xml:space="preserve"> </w:t>
      </w:r>
      <w:r w:rsidR="00CE0B6C" w:rsidRPr="00CE0B6C">
        <w:rPr>
          <w:b/>
          <w:bCs/>
        </w:rPr>
        <w:t>low achiever</w:t>
      </w:r>
      <w:r w:rsidR="0043156F" w:rsidRPr="00CE0B6C">
        <w:rPr>
          <w:b/>
          <w:bCs/>
        </w:rPr>
        <w:t>s</w:t>
      </w:r>
      <w:r w:rsidR="0043156F" w:rsidRPr="000B5D65">
        <w:t xml:space="preserve"> in the e</w:t>
      </w:r>
      <w:r w:rsidR="009D361B" w:rsidRPr="000B5D65">
        <w:t>xperimental and control groups</w:t>
      </w:r>
      <w:r w:rsidR="00B559F1" w:rsidRPr="000B5D65">
        <w:t xml:space="preserve"> and between the scores of the </w:t>
      </w:r>
      <w:r w:rsidR="00CE0B6C" w:rsidRPr="00CE0B6C">
        <w:rPr>
          <w:b/>
          <w:bCs/>
        </w:rPr>
        <w:t>normal achiever</w:t>
      </w:r>
      <w:r w:rsidR="008303AA" w:rsidRPr="00CE0B6C">
        <w:rPr>
          <w:b/>
          <w:bCs/>
        </w:rPr>
        <w:t>s</w:t>
      </w:r>
      <w:r w:rsidR="008303AA" w:rsidRPr="000B5D65">
        <w:t xml:space="preserve"> in the</w:t>
      </w:r>
      <w:r w:rsidR="00B559F1" w:rsidRPr="000B5D65">
        <w:t xml:space="preserve"> </w:t>
      </w:r>
      <w:r w:rsidR="00884656" w:rsidRPr="000B5D65">
        <w:t xml:space="preserve">experimental and control </w:t>
      </w:r>
      <w:r w:rsidR="00B559F1" w:rsidRPr="000B5D65">
        <w:t>groups, the effect sizes related to the differences were large</w:t>
      </w:r>
      <w:r w:rsidR="00286EDF" w:rsidRPr="000B5D65">
        <w:t xml:space="preserve">. </w:t>
      </w:r>
      <w:r w:rsidR="00EA0D53" w:rsidRPr="000B5D65">
        <w:t xml:space="preserve">All of the significant differences that were found reflected significantly higher scores for the experimental students versus the control students. </w:t>
      </w:r>
      <w:r w:rsidR="00B911FE" w:rsidRPr="000B5D65">
        <w:t>N</w:t>
      </w:r>
      <w:r w:rsidR="0043156F" w:rsidRPr="000B5D65">
        <w:t xml:space="preserve">o </w:t>
      </w:r>
      <w:r w:rsidR="00B911FE" w:rsidRPr="000B5D65">
        <w:t xml:space="preserve">significant </w:t>
      </w:r>
      <w:r w:rsidR="004D3061" w:rsidRPr="000B5D65">
        <w:t>difference was</w:t>
      </w:r>
      <w:r w:rsidR="0043156F" w:rsidRPr="000B5D65">
        <w:t xml:space="preserve"> found for the </w:t>
      </w:r>
      <w:r w:rsidR="00CE0B6C" w:rsidRPr="00CE0B6C">
        <w:rPr>
          <w:b/>
          <w:bCs/>
        </w:rPr>
        <w:t>high</w:t>
      </w:r>
      <w:r w:rsidR="00CE0B6C">
        <w:rPr>
          <w:b/>
          <w:bCs/>
        </w:rPr>
        <w:t>-</w:t>
      </w:r>
      <w:r w:rsidR="00CE0B6C" w:rsidRPr="00CE0B6C">
        <w:rPr>
          <w:b/>
          <w:bCs/>
        </w:rPr>
        <w:t>achiever</w:t>
      </w:r>
      <w:r w:rsidR="00CE0B6C">
        <w:t xml:space="preserve"> subgroup</w:t>
      </w:r>
      <w:r w:rsidR="00EA0D53" w:rsidRPr="000B5D65">
        <w:t>s even though the mean score fo</w:t>
      </w:r>
      <w:r w:rsidR="00B559F1" w:rsidRPr="000B5D65">
        <w:t>r the experimental students was slightly</w:t>
      </w:r>
      <w:r w:rsidR="00EA0D53" w:rsidRPr="000B5D65">
        <w:t xml:space="preserve"> higher than </w:t>
      </w:r>
      <w:r w:rsidR="00B559F1" w:rsidRPr="000B5D65">
        <w:t>the mean score</w:t>
      </w:r>
      <w:r w:rsidR="00EA0D53" w:rsidRPr="000B5D65">
        <w:t xml:space="preserve"> for the control students</w:t>
      </w:r>
      <w:r w:rsidR="0043156F" w:rsidRPr="000B5D65">
        <w:t xml:space="preserve">. </w:t>
      </w:r>
      <w:r w:rsidR="00E7394F">
        <w:t xml:space="preserve">Both groups of </w:t>
      </w:r>
      <w:r w:rsidR="00CE0B6C" w:rsidRPr="00CE0B6C">
        <w:rPr>
          <w:b/>
          <w:bCs/>
        </w:rPr>
        <w:t>high achiever</w:t>
      </w:r>
      <w:r w:rsidR="00B559F1" w:rsidRPr="00CE0B6C">
        <w:rPr>
          <w:b/>
          <w:bCs/>
        </w:rPr>
        <w:t>s</w:t>
      </w:r>
      <w:r w:rsidR="00B559F1" w:rsidRPr="000B5D65">
        <w:t xml:space="preserve"> earned relatively high mean scores. </w:t>
      </w:r>
    </w:p>
    <w:p w14:paraId="133AF1F9" w14:textId="67D4CD02" w:rsidR="00D77E11" w:rsidRDefault="00B911FE" w:rsidP="00810D04">
      <w:pPr>
        <w:widowControl w:val="0"/>
        <w:spacing w:line="480" w:lineRule="auto"/>
        <w:ind w:firstLine="720"/>
      </w:pPr>
      <w:r w:rsidRPr="000B5D65">
        <w:t>When the students’ scores were analyzed to determine whether the students would have “passed” the test, given</w:t>
      </w:r>
      <w:r w:rsidR="001741B0" w:rsidRPr="000B5D65">
        <w:t xml:space="preserve"> the typical school standard</w:t>
      </w:r>
      <w:r w:rsidRPr="000B5D65">
        <w:t xml:space="preserve"> for a passing grade (</w:t>
      </w:r>
      <w:r w:rsidR="00D77E11" w:rsidRPr="000B5D65">
        <w:t xml:space="preserve">i.e., </w:t>
      </w:r>
      <w:r w:rsidRPr="000B5D65">
        <w:t>a score of 60% or higher on the test), the percentages of passing students were as follows: Students with LD, 29% in the control group and 71% in th</w:t>
      </w:r>
      <w:r w:rsidR="00E7394F">
        <w:t xml:space="preserve">e experimental group; </w:t>
      </w:r>
      <w:r w:rsidR="008532B3" w:rsidRPr="008532B3">
        <w:rPr>
          <w:b/>
          <w:bCs/>
        </w:rPr>
        <w:t>low achiever</w:t>
      </w:r>
      <w:r w:rsidRPr="008532B3">
        <w:rPr>
          <w:b/>
          <w:bCs/>
        </w:rPr>
        <w:t>s,</w:t>
      </w:r>
      <w:r w:rsidRPr="000B5D65">
        <w:t xml:space="preserve"> 50% in the control group and 83% in the exper</w:t>
      </w:r>
      <w:r w:rsidR="00E7394F">
        <w:t xml:space="preserve">imental group; </w:t>
      </w:r>
      <w:r w:rsidR="008532B3" w:rsidRPr="008532B3">
        <w:rPr>
          <w:b/>
          <w:bCs/>
        </w:rPr>
        <w:t>normal achiever</w:t>
      </w:r>
      <w:r w:rsidRPr="008532B3">
        <w:rPr>
          <w:b/>
          <w:bCs/>
        </w:rPr>
        <w:t>s</w:t>
      </w:r>
      <w:r w:rsidRPr="000B5D65">
        <w:t>, 88% in the control group and 94% in the ex</w:t>
      </w:r>
      <w:r w:rsidR="00E7394F">
        <w:t xml:space="preserve">perimental group; and </w:t>
      </w:r>
      <w:r w:rsidR="008532B3" w:rsidRPr="008532B3">
        <w:rPr>
          <w:b/>
          <w:bCs/>
        </w:rPr>
        <w:t>high achiever</w:t>
      </w:r>
      <w:r w:rsidRPr="008532B3">
        <w:rPr>
          <w:b/>
          <w:bCs/>
        </w:rPr>
        <w:t>s</w:t>
      </w:r>
      <w:r w:rsidRPr="000B5D65">
        <w:t>, 100% in the control group and 92% in the experim</w:t>
      </w:r>
      <w:r w:rsidR="00D77E11" w:rsidRPr="000B5D65">
        <w:t>ental group.</w:t>
      </w:r>
    </w:p>
    <w:p w14:paraId="77854923" w14:textId="77777777" w:rsidR="001E5E0B" w:rsidRPr="000B5D65" w:rsidRDefault="001E5E0B" w:rsidP="00810D04">
      <w:pPr>
        <w:widowControl w:val="0"/>
        <w:spacing w:line="480" w:lineRule="auto"/>
        <w:rPr>
          <w:b/>
        </w:rPr>
      </w:pPr>
      <w:r w:rsidRPr="000B5D65">
        <w:rPr>
          <w:b/>
        </w:rPr>
        <w:t>The Concept Anchoring Routine</w:t>
      </w:r>
    </w:p>
    <w:p w14:paraId="4F53BD79" w14:textId="77777777" w:rsidR="001E5E0B" w:rsidRPr="000B5D65" w:rsidRDefault="001E5E0B" w:rsidP="00810D04">
      <w:pPr>
        <w:widowControl w:val="0"/>
        <w:spacing w:line="480" w:lineRule="auto"/>
        <w:rPr>
          <w:b/>
          <w:i/>
        </w:rPr>
      </w:pPr>
      <w:r w:rsidRPr="000B5D65">
        <w:rPr>
          <w:b/>
          <w:i/>
        </w:rPr>
        <w:t>The Routine Itself</w:t>
      </w:r>
    </w:p>
    <w:p w14:paraId="5A98AB3D" w14:textId="358158B4" w:rsidR="001E5E0B" w:rsidRPr="000B5D65" w:rsidRDefault="001E5E0B" w:rsidP="00810D04">
      <w:pPr>
        <w:widowControl w:val="0"/>
        <w:spacing w:line="480" w:lineRule="auto"/>
        <w:ind w:firstLine="720"/>
      </w:pPr>
      <w:r w:rsidRPr="000B5D65">
        <w:t>Like the Concept Mastery Routine, the Concept Anchoring Routine (</w:t>
      </w:r>
      <w:proofErr w:type="spellStart"/>
      <w:r w:rsidRPr="000B5D65">
        <w:t>Bulgren</w:t>
      </w:r>
      <w:proofErr w:type="spellEnd"/>
      <w:r w:rsidRPr="000B5D65">
        <w:t xml:space="preserve"> et al., 1994; </w:t>
      </w:r>
      <w:r w:rsidRPr="004067AC">
        <w:t>Deshler et al., 200</w:t>
      </w:r>
      <w:r w:rsidR="004067AC" w:rsidRPr="004067AC">
        <w:t>1</w:t>
      </w:r>
      <w:r w:rsidRPr="004067AC">
        <w:t>) is</w:t>
      </w:r>
      <w:r w:rsidRPr="000B5D65">
        <w:t xml:space="preserve"> a set of procedures teachers use to plan and lead a discussion with students about a new concept that is foundational to a unit of study. Again, the basic rationale associated with this strategy is to provide students with information that can form the foundation upon which new information can be built during the rest of the unit of study. However, the key to </w:t>
      </w:r>
      <w:r w:rsidRPr="000B5D65">
        <w:lastRenderedPageBreak/>
        <w:t xml:space="preserve">this routine is relating the </w:t>
      </w:r>
      <w:proofErr w:type="gramStart"/>
      <w:r w:rsidRPr="000B5D65">
        <w:t>brand new</w:t>
      </w:r>
      <w:proofErr w:type="gramEnd"/>
      <w:r w:rsidRPr="000B5D65">
        <w:t xml:space="preserve"> targeted concept to a concept with which students are already familiar through the use of a complex analogy. For example, the concept of “</w:t>
      </w:r>
      <w:r w:rsidRPr="000B5D65">
        <w:rPr>
          <w:i/>
        </w:rPr>
        <w:t>commensalism</w:t>
      </w:r>
      <w:r w:rsidRPr="000B5D65">
        <w:t>” might be more understandable to students if it is related to the concept of a lemonade stand where a boy and his neighbor form a relationship related to the lemonade stand. In the relationship, the boy places his lemonade stand near the neighbor’s home, but the neighbor is neither benefitted nor harmed by the relationship. The boy benefits because there is more foot traffic near the neighbor’s home than near his own home. This relationship is similar to many relationships in nature where one party benefits, but the other party neither benefits nor is harmed. The analogy between the story of the lemonade stand and the unknown concept “</w:t>
      </w:r>
      <w:r w:rsidRPr="000B5D65">
        <w:rPr>
          <w:i/>
        </w:rPr>
        <w:t>commensalism</w:t>
      </w:r>
      <w:r w:rsidRPr="000B5D65">
        <w:t xml:space="preserve">” helps students understand and remember the unknown concept. </w:t>
      </w:r>
    </w:p>
    <w:p w14:paraId="2DEE2CA9" w14:textId="1B256FBE" w:rsidR="001E5E0B" w:rsidRPr="000B5D65" w:rsidRDefault="001E5E0B" w:rsidP="00810D04">
      <w:pPr>
        <w:widowControl w:val="0"/>
        <w:spacing w:line="480" w:lineRule="auto"/>
        <w:ind w:firstLine="720"/>
      </w:pPr>
      <w:r w:rsidRPr="000B5D65">
        <w:t xml:space="preserve">During the use of the Concept Anchoring Routine, then, the teacher and students name the two concepts that are related through analogy (e.g., “The circulatory system” and “The transportation system in a town.”). </w:t>
      </w:r>
      <w:r w:rsidRPr="00BA3DB2">
        <w:rPr>
          <w:b/>
          <w:bCs/>
        </w:rPr>
        <w:t>Then the teacher prompts the students to name</w:t>
      </w:r>
      <w:r w:rsidR="00CB1AD3" w:rsidRPr="00BA3DB2">
        <w:rPr>
          <w:b/>
          <w:bCs/>
        </w:rPr>
        <w:t xml:space="preserve"> and list</w:t>
      </w:r>
      <w:r w:rsidRPr="00BA3DB2">
        <w:rPr>
          <w:b/>
          <w:bCs/>
        </w:rPr>
        <w:t xml:space="preserve"> items associated with the known concept “town” (e.g.,  “roads,” “highways,” “town center,” “trucks,” “ambulances”) and then to name or research items associated with the new concept (e.g., “capillaries,” “veins and arteries,” “the heart,” “red blood cells,” “white blood cells”). </w:t>
      </w:r>
      <w:r w:rsidR="00BA3DB2">
        <w:rPr>
          <w:b/>
          <w:bCs/>
        </w:rPr>
        <w:t xml:space="preserve">For example, the teacher can model a strategy for looking for information in the textbook or on the Internet that tells the purpose of each part of the new concept. </w:t>
      </w:r>
      <w:r w:rsidRPr="00BA3DB2">
        <w:rPr>
          <w:b/>
          <w:bCs/>
        </w:rPr>
        <w:t>From here, the teacher prompt</w:t>
      </w:r>
      <w:r w:rsidR="00BA3DB2">
        <w:rPr>
          <w:b/>
          <w:bCs/>
        </w:rPr>
        <w:t xml:space="preserve">s </w:t>
      </w:r>
      <w:r w:rsidRPr="00BA3DB2">
        <w:rPr>
          <w:b/>
          <w:bCs/>
        </w:rPr>
        <w:t xml:space="preserve">the students to </w:t>
      </w:r>
      <w:r w:rsidR="00CB1AD3" w:rsidRPr="00BA3DB2">
        <w:rPr>
          <w:b/>
          <w:bCs/>
        </w:rPr>
        <w:t>use a self-questioning strategy to pair up the</w:t>
      </w:r>
      <w:r w:rsidRPr="00BA3DB2">
        <w:rPr>
          <w:b/>
          <w:bCs/>
        </w:rPr>
        <w:t xml:space="preserve"> characteristics of the two concepts (e.g., “</w:t>
      </w:r>
      <w:r w:rsidR="00CB1AD3" w:rsidRPr="00BA3DB2">
        <w:rPr>
          <w:b/>
          <w:bCs/>
        </w:rPr>
        <w:t>What are t</w:t>
      </w:r>
      <w:r w:rsidRPr="00BA3DB2">
        <w:rPr>
          <w:b/>
          <w:bCs/>
        </w:rPr>
        <w:t xml:space="preserve">he capillaries </w:t>
      </w:r>
      <w:r w:rsidR="00CB1AD3" w:rsidRPr="00BA3DB2">
        <w:rPr>
          <w:b/>
          <w:bCs/>
        </w:rPr>
        <w:t>in your body most like in a town?</w:t>
      </w:r>
      <w:r w:rsidRPr="00BA3DB2">
        <w:rPr>
          <w:b/>
          <w:bCs/>
        </w:rPr>
        <w:t>”</w:t>
      </w:r>
      <w:r w:rsidR="00CB1AD3" w:rsidRPr="00BA3DB2">
        <w:rPr>
          <w:b/>
          <w:bCs/>
        </w:rPr>
        <w:t xml:space="preserve"> or “What are the red blood cells in your body most like in a town?</w:t>
      </w:r>
      <w:r w:rsidRPr="00BA3DB2">
        <w:rPr>
          <w:b/>
          <w:bCs/>
        </w:rPr>
        <w:t xml:space="preserve">).  </w:t>
      </w:r>
      <w:r w:rsidR="00BA3DB2" w:rsidRPr="00BA3DB2">
        <w:rPr>
          <w:b/>
          <w:bCs/>
        </w:rPr>
        <w:t>Next,</w:t>
      </w:r>
      <w:r w:rsidRPr="00BA3DB2">
        <w:rPr>
          <w:b/>
          <w:bCs/>
        </w:rPr>
        <w:t xml:space="preserve"> the</w:t>
      </w:r>
      <w:r w:rsidR="00BA3DB2" w:rsidRPr="00BA3DB2">
        <w:rPr>
          <w:b/>
          <w:bCs/>
        </w:rPr>
        <w:t xml:space="preserve"> teacher will model</w:t>
      </w:r>
      <w:r w:rsidRPr="00BA3DB2">
        <w:rPr>
          <w:b/>
          <w:bCs/>
        </w:rPr>
        <w:t xml:space="preserve"> </w:t>
      </w:r>
      <w:r w:rsidR="00BA3DB2" w:rsidRPr="00BA3DB2">
        <w:rPr>
          <w:b/>
          <w:bCs/>
        </w:rPr>
        <w:t xml:space="preserve">a strategy for </w:t>
      </w:r>
      <w:r w:rsidRPr="00BA3DB2">
        <w:rPr>
          <w:b/>
          <w:bCs/>
        </w:rPr>
        <w:t>na</w:t>
      </w:r>
      <w:r w:rsidR="00BA3DB2" w:rsidRPr="00BA3DB2">
        <w:rPr>
          <w:b/>
          <w:bCs/>
        </w:rPr>
        <w:t>ming</w:t>
      </w:r>
      <w:r w:rsidRPr="00BA3DB2">
        <w:rPr>
          <w:b/>
          <w:bCs/>
        </w:rPr>
        <w:t xml:space="preserve"> the relationship between the parallel characteristics (e.g., for the parallel items “red blood cells” and “trucks,” the </w:t>
      </w:r>
      <w:r w:rsidR="00BA3DB2" w:rsidRPr="00BA3DB2">
        <w:rPr>
          <w:b/>
          <w:bCs/>
        </w:rPr>
        <w:t>relationship</w:t>
      </w:r>
      <w:r w:rsidRPr="00BA3DB2">
        <w:rPr>
          <w:b/>
          <w:bCs/>
        </w:rPr>
        <w:t xml:space="preserve"> </w:t>
      </w:r>
      <w:r w:rsidR="00BA3DB2">
        <w:rPr>
          <w:b/>
          <w:bCs/>
        </w:rPr>
        <w:t>might be created by asking</w:t>
      </w:r>
      <w:r w:rsidR="00BA3DB2" w:rsidRPr="00BA3DB2">
        <w:rPr>
          <w:b/>
          <w:bCs/>
        </w:rPr>
        <w:t xml:space="preserve"> </w:t>
      </w:r>
      <w:r w:rsidR="00BA3DB2">
        <w:rPr>
          <w:b/>
          <w:bCs/>
        </w:rPr>
        <w:t xml:space="preserve">“What do they both do?” and the answer would be </w:t>
      </w:r>
      <w:r w:rsidRPr="00BA3DB2">
        <w:rPr>
          <w:b/>
          <w:bCs/>
        </w:rPr>
        <w:t xml:space="preserve">“transport </w:t>
      </w:r>
      <w:r w:rsidRPr="00BA3DB2">
        <w:rPr>
          <w:b/>
          <w:bCs/>
        </w:rPr>
        <w:lastRenderedPageBreak/>
        <w:t>important supplies”).</w:t>
      </w:r>
      <w:r w:rsidRPr="000B5D65">
        <w:t xml:space="preserve"> </w:t>
      </w:r>
      <w:r w:rsidR="00BA3DB2" w:rsidRPr="00BA3DB2">
        <w:rPr>
          <w:b/>
          <w:bCs/>
        </w:rPr>
        <w:t>Then the teacher prompt</w:t>
      </w:r>
      <w:r w:rsidR="00BA3DB2">
        <w:rPr>
          <w:b/>
          <w:bCs/>
        </w:rPr>
        <w:t>s</w:t>
      </w:r>
      <w:r w:rsidR="00BA3DB2" w:rsidRPr="00BA3DB2">
        <w:rPr>
          <w:b/>
          <w:bCs/>
        </w:rPr>
        <w:t xml:space="preserve"> the students to name relationships for the remaining pairs.</w:t>
      </w:r>
      <w:r w:rsidR="00BA3DB2">
        <w:t xml:space="preserve"> </w:t>
      </w:r>
      <w:r w:rsidRPr="00BA3DB2">
        <w:rPr>
          <w:b/>
          <w:bCs/>
        </w:rPr>
        <w:t xml:space="preserve">Finally, once they have listed all the </w:t>
      </w:r>
      <w:r w:rsidR="00BA3DB2" w:rsidRPr="00BA3DB2">
        <w:rPr>
          <w:b/>
          <w:bCs/>
        </w:rPr>
        <w:t>relationships</w:t>
      </w:r>
      <w:r w:rsidRPr="00BA3DB2">
        <w:rPr>
          <w:b/>
          <w:bCs/>
        </w:rPr>
        <w:t xml:space="preserve">, the teacher models </w:t>
      </w:r>
      <w:r w:rsidR="00CB1AD3" w:rsidRPr="00BA3DB2">
        <w:rPr>
          <w:b/>
          <w:bCs/>
        </w:rPr>
        <w:t xml:space="preserve">a </w:t>
      </w:r>
      <w:r w:rsidR="00BA3DB2" w:rsidRPr="00BA3DB2">
        <w:rPr>
          <w:b/>
          <w:bCs/>
        </w:rPr>
        <w:t>summarizing strategy</w:t>
      </w:r>
      <w:r w:rsidR="00CB1AD3" w:rsidRPr="00BA3DB2">
        <w:rPr>
          <w:b/>
          <w:bCs/>
        </w:rPr>
        <w:t xml:space="preserve"> to</w:t>
      </w:r>
      <w:r w:rsidRPr="00BA3DB2">
        <w:rPr>
          <w:b/>
          <w:bCs/>
        </w:rPr>
        <w:t xml:space="preserve"> </w:t>
      </w:r>
      <w:r w:rsidR="00BA3DB2" w:rsidRPr="00BA3DB2">
        <w:rPr>
          <w:b/>
          <w:bCs/>
        </w:rPr>
        <w:t>compile</w:t>
      </w:r>
      <w:r w:rsidRPr="00BA3DB2">
        <w:rPr>
          <w:b/>
          <w:bCs/>
        </w:rPr>
        <w:t xml:space="preserve"> their understanding of the new concept</w:t>
      </w:r>
      <w:r w:rsidR="00CB1AD3" w:rsidRPr="00BA3DB2">
        <w:rPr>
          <w:b/>
          <w:bCs/>
        </w:rPr>
        <w:t xml:space="preserve"> by writing a complete sentence about </w:t>
      </w:r>
      <w:r w:rsidR="00BA3DB2" w:rsidRPr="00BA3DB2">
        <w:rPr>
          <w:b/>
          <w:bCs/>
        </w:rPr>
        <w:t>the</w:t>
      </w:r>
      <w:r w:rsidR="00CB1AD3" w:rsidRPr="00BA3DB2">
        <w:rPr>
          <w:b/>
          <w:bCs/>
        </w:rPr>
        <w:t xml:space="preserve"> catego</w:t>
      </w:r>
      <w:r w:rsidR="00BA3DB2" w:rsidRPr="00BA3DB2">
        <w:rPr>
          <w:b/>
          <w:bCs/>
        </w:rPr>
        <w:t>ries</w:t>
      </w:r>
      <w:r w:rsidR="00CB1AD3" w:rsidRPr="00BA3DB2">
        <w:rPr>
          <w:b/>
          <w:bCs/>
        </w:rPr>
        <w:t xml:space="preserve"> of parallel characteristics</w:t>
      </w:r>
      <w:r w:rsidRPr="00BA3DB2">
        <w:rPr>
          <w:b/>
          <w:bCs/>
        </w:rPr>
        <w:t>.</w:t>
      </w:r>
      <w:r w:rsidRPr="000B5D65">
        <w:t xml:space="preserve"> As a result of this process, students learn how to use cognitive strategies to analyze a concept and its similarities to another concept</w:t>
      </w:r>
      <w:r w:rsidR="00CB1AD3">
        <w:t xml:space="preserve"> and to summarize the relationships</w:t>
      </w:r>
      <w:r w:rsidRPr="000B5D65">
        <w:t xml:space="preserve">. During the discussion, the teacher and students construct a visual device, called the Anchoring Table, containing all the pertinent information about the new concept and the known concept. (See Figure </w:t>
      </w:r>
      <w:r w:rsidR="00B75ED8">
        <w:t>4</w:t>
      </w:r>
      <w:r>
        <w:t xml:space="preserve"> for an example.</w:t>
      </w:r>
      <w:r w:rsidR="00781B31">
        <w:t xml:space="preserve"> See </w:t>
      </w:r>
      <w:proofErr w:type="spellStart"/>
      <w:r w:rsidR="00781B31">
        <w:t>Bulgren</w:t>
      </w:r>
      <w:proofErr w:type="spellEnd"/>
      <w:r w:rsidR="00781B31">
        <w:t xml:space="preserve"> et al., 1994, 2000 for other examples.</w:t>
      </w:r>
      <w:r>
        <w:t xml:space="preserve">) </w:t>
      </w:r>
      <w:r w:rsidRPr="000B5D65">
        <w:t>Each student then has an Anchoring Table to use when studying for the unit test or when writing about the concept.</w:t>
      </w:r>
    </w:p>
    <w:p w14:paraId="25341FA5" w14:textId="06606A5E" w:rsidR="001E5E0B" w:rsidRPr="000B5D65" w:rsidRDefault="001E5E0B" w:rsidP="00810D04">
      <w:pPr>
        <w:widowControl w:val="0"/>
        <w:spacing w:line="480" w:lineRule="auto"/>
        <w:jc w:val="center"/>
      </w:pPr>
      <w:r w:rsidRPr="000B5D65">
        <w:t xml:space="preserve">Insert Figure </w:t>
      </w:r>
      <w:r w:rsidR="00B75ED8">
        <w:t>4</w:t>
      </w:r>
      <w:r w:rsidRPr="000B5D65">
        <w:t xml:space="preserve"> about here</w:t>
      </w:r>
    </w:p>
    <w:p w14:paraId="5BAEC505" w14:textId="77777777" w:rsidR="001E5E0B" w:rsidRPr="000B5D65" w:rsidRDefault="001E5E0B" w:rsidP="00810D04">
      <w:pPr>
        <w:widowControl w:val="0"/>
        <w:spacing w:line="480" w:lineRule="auto"/>
        <w:rPr>
          <w:i/>
        </w:rPr>
      </w:pPr>
      <w:r w:rsidRPr="000B5D65">
        <w:rPr>
          <w:b/>
          <w:i/>
        </w:rPr>
        <w:t>The Original Validation Study for the Concept Anchoring Routine</w:t>
      </w:r>
      <w:r w:rsidRPr="000B5D65">
        <w:rPr>
          <w:i/>
        </w:rPr>
        <w:t xml:space="preserve"> </w:t>
      </w:r>
    </w:p>
    <w:p w14:paraId="5AC946FA" w14:textId="6DA86957" w:rsidR="001E5E0B" w:rsidRPr="001E5E0B" w:rsidRDefault="001E5E0B" w:rsidP="00810D04">
      <w:pPr>
        <w:widowControl w:val="0"/>
        <w:spacing w:line="480" w:lineRule="auto"/>
        <w:ind w:firstLine="720"/>
        <w:rPr>
          <w:b/>
          <w:bCs/>
        </w:rPr>
      </w:pPr>
      <w:proofErr w:type="spellStart"/>
      <w:r w:rsidRPr="000B5D65">
        <w:t>Bulgren</w:t>
      </w:r>
      <w:proofErr w:type="spellEnd"/>
      <w:r w:rsidRPr="000B5D65">
        <w:t xml:space="preserve"> et al. (2000) conducted a study to determine the effects of the Concept Anchoring Routine on student learning of secondary subject-area content. A total of 83 </w:t>
      </w:r>
      <w:proofErr w:type="gramStart"/>
      <w:r w:rsidR="00662D22" w:rsidRPr="00662D22">
        <w:rPr>
          <w:b/>
          <w:bCs/>
        </w:rPr>
        <w:t>seventh-grade</w:t>
      </w:r>
      <w:r w:rsidR="00662D22">
        <w:rPr>
          <w:b/>
          <w:bCs/>
        </w:rPr>
        <w:t>rs</w:t>
      </w:r>
      <w:proofErr w:type="gramEnd"/>
      <w:r w:rsidRPr="000B5D65">
        <w:t xml:space="preserve"> participated in the study. They were enrolled in eight inclusive science classes, which were randomly assigned to either Condition 1 (n = 39) or Condition 2 (n = 44). The performance of four subgroups of students within the inclusive classes was monitored: </w:t>
      </w:r>
      <w:r w:rsidRPr="001E5E0B">
        <w:rPr>
          <w:b/>
          <w:bCs/>
        </w:rPr>
        <w:t xml:space="preserve">high achievers, normal achievers, low achievers, and students with LD. </w:t>
      </w:r>
    </w:p>
    <w:p w14:paraId="76B4CFD1" w14:textId="092DFF0F" w:rsidR="001E5E0B" w:rsidRPr="000B5D65" w:rsidRDefault="001E5E0B" w:rsidP="00810D04">
      <w:pPr>
        <w:widowControl w:val="0"/>
        <w:spacing w:line="480" w:lineRule="auto"/>
        <w:ind w:firstLine="720"/>
      </w:pPr>
      <w:r w:rsidRPr="000B5D65">
        <w:t>Two concepts were chosen as the targets of the instruction: “</w:t>
      </w:r>
      <w:r w:rsidRPr="000B5D65">
        <w:rPr>
          <w:i/>
        </w:rPr>
        <w:t>commensalism</w:t>
      </w:r>
      <w:r w:rsidRPr="000B5D65">
        <w:t>” and “</w:t>
      </w:r>
      <w:r w:rsidRPr="000B5D65">
        <w:rPr>
          <w:i/>
        </w:rPr>
        <w:t>pyramid of numbers</w:t>
      </w:r>
      <w:r w:rsidRPr="000B5D65">
        <w:t>.” Both concepts were instructed in both conditions; however, in Condition 1, “</w:t>
      </w:r>
      <w:r w:rsidRPr="000B5D65">
        <w:rPr>
          <w:i/>
        </w:rPr>
        <w:t>commensalism</w:t>
      </w:r>
      <w:r w:rsidRPr="000B5D65">
        <w:t>” was taught using the Concept Anchoring Routine, while in Condition 2, “</w:t>
      </w:r>
      <w:r w:rsidRPr="000B5D65">
        <w:rPr>
          <w:i/>
        </w:rPr>
        <w:t>pyramid of numbers</w:t>
      </w:r>
      <w:r w:rsidRPr="000B5D65">
        <w:t xml:space="preserve">” was taught using the routine. When the routine was used, the concept was called the “enhanced concept;” when the routine was not used (i.e., the lecture method was used instead), the concept was called the “non-enhanced concept.” A counterbalanced design was </w:t>
      </w:r>
      <w:r w:rsidRPr="000B5D65">
        <w:lastRenderedPageBreak/>
        <w:t xml:space="preserve">used with one concept being taught using the routine and one concept being taught with the traditional lecture method in one condition and then flip-flopping the concepts and the type of instruction for the other condition. That is, all of the students received instruction in both concepts. In each condition, they participated in the routine for one concept and in a lecture for the other one. Thus, the groups assigned to the two conditions served as controls for each other. </w:t>
      </w:r>
      <w:proofErr w:type="spellStart"/>
      <w:r w:rsidRPr="000B5D65">
        <w:t>Bulgren</w:t>
      </w:r>
      <w:proofErr w:type="spellEnd"/>
      <w:r w:rsidRPr="000B5D65">
        <w:t xml:space="preserve">, </w:t>
      </w:r>
      <w:r w:rsidR="00662D22">
        <w:t xml:space="preserve">who was </w:t>
      </w:r>
      <w:r w:rsidRPr="000B5D65">
        <w:t>the researcher and a certified teacher, provided the instruction for all of the classes in both conditions.</w:t>
      </w:r>
    </w:p>
    <w:p w14:paraId="11956D74" w14:textId="441E24B8" w:rsidR="001E5E0B" w:rsidRPr="000B5D65" w:rsidRDefault="001E5E0B" w:rsidP="00810D04">
      <w:pPr>
        <w:widowControl w:val="0"/>
        <w:spacing w:line="480" w:lineRule="auto"/>
        <w:ind w:firstLine="720"/>
      </w:pPr>
      <w:r w:rsidRPr="000B5D65">
        <w:t>A 32-item</w:t>
      </w:r>
      <w:r w:rsidR="00081A85">
        <w:t xml:space="preserve"> researcher-created</w:t>
      </w:r>
      <w:r w:rsidRPr="000B5D65">
        <w:t xml:space="preserve"> multiple-choice test served as the outcome measure. Items on the test related to information associated with four concepts: commensalism and pyramid of numbers plus two other concepts that were never paired with the routine. Information about these two nonenhanced concepts was delivered with the lecture method. A student’s score was the percentage of items answered correctly related to each concept.</w:t>
      </w:r>
    </w:p>
    <w:p w14:paraId="2C94BD9B" w14:textId="0FE5BF1A" w:rsidR="001E5E0B" w:rsidRPr="000B5D65" w:rsidRDefault="001E5E0B" w:rsidP="00810D04">
      <w:pPr>
        <w:widowControl w:val="0"/>
        <w:spacing w:line="480" w:lineRule="auto"/>
        <w:jc w:val="center"/>
      </w:pPr>
      <w:r w:rsidRPr="000B5D65">
        <w:t xml:space="preserve">Insert Table </w:t>
      </w:r>
      <w:r>
        <w:t>3</w:t>
      </w:r>
      <w:r w:rsidRPr="000B5D65">
        <w:t xml:space="preserve"> about here</w:t>
      </w:r>
    </w:p>
    <w:p w14:paraId="613A9B34" w14:textId="26657E60" w:rsidR="001E5E0B" w:rsidRPr="000B5D65" w:rsidRDefault="001E5E0B" w:rsidP="00810D04">
      <w:pPr>
        <w:widowControl w:val="0"/>
        <w:spacing w:line="480" w:lineRule="auto"/>
        <w:ind w:firstLine="720"/>
      </w:pPr>
      <w:r w:rsidRPr="000B5D65">
        <w:t xml:space="preserve">Table </w:t>
      </w:r>
      <w:r>
        <w:t>3</w:t>
      </w:r>
      <w:r w:rsidRPr="000B5D65">
        <w:t xml:space="preserve"> displays the results of the </w:t>
      </w:r>
      <w:proofErr w:type="spellStart"/>
      <w:r w:rsidRPr="000B5D65">
        <w:t>Bulgren</w:t>
      </w:r>
      <w:proofErr w:type="spellEnd"/>
      <w:r w:rsidRPr="000B5D65">
        <w:t xml:space="preserve"> et al. (2000) study, including the mean test scores for the whole groups of students and the subgroups of students. Also shown are the between-group effects between the scores of experimental and control students. All of the subgroups earned significantly higher scores on the test items when the routine was paired with the concept than when traditional lecture instruction was paired with the concept, with one exception: High achievers did not earn higher scores when they participated in the routine for “</w:t>
      </w:r>
      <w:r w:rsidRPr="000B5D65">
        <w:rPr>
          <w:i/>
        </w:rPr>
        <w:t>pyramid of numbers</w:t>
      </w:r>
      <w:r>
        <w:t xml:space="preserve">.” This happened because </w:t>
      </w:r>
      <w:r w:rsidR="005729D0">
        <w:t>high achiever</w:t>
      </w:r>
      <w:r w:rsidRPr="000B5D65">
        <w:t>s earned an average score of 100% on the test items associated with that concept when they received the lecture-based instruction. In all other instances, all the subgroups of students earned significantly higher scores when the content was paired with the routine than when it was not. For example, when students with LD participated in the routine, they earned an average test score of 69% on “</w:t>
      </w:r>
      <w:r w:rsidRPr="000B5D65">
        <w:rPr>
          <w:i/>
        </w:rPr>
        <w:t>pyramid of numbers</w:t>
      </w:r>
      <w:r w:rsidRPr="000B5D65">
        <w:t xml:space="preserve">” </w:t>
      </w:r>
      <w:r w:rsidRPr="000B5D65">
        <w:lastRenderedPageBreak/>
        <w:t>items and 55% on “</w:t>
      </w:r>
      <w:r w:rsidRPr="000B5D65">
        <w:rPr>
          <w:i/>
        </w:rPr>
        <w:t>commensalism</w:t>
      </w:r>
      <w:r w:rsidRPr="000B5D65">
        <w:t>” items. When they did not participate in the routine, they earned an average test score of 36% on “</w:t>
      </w:r>
      <w:r w:rsidRPr="000B5D65">
        <w:rPr>
          <w:i/>
        </w:rPr>
        <w:t>pyramid of numbers</w:t>
      </w:r>
      <w:r w:rsidRPr="000B5D65">
        <w:t>” items and an average test score of 40% on “</w:t>
      </w:r>
      <w:r w:rsidRPr="000B5D65">
        <w:rPr>
          <w:i/>
        </w:rPr>
        <w:t>commensalism</w:t>
      </w:r>
      <w:r w:rsidRPr="000B5D65">
        <w:t>” items. For the student groups as a whole and for the subgroups, students earned significantly higher scores on the test items when they participated in the routine than when they did not. All of the effect sizes for the between-conditions differences were large except for the effect size for the difference between the w</w:t>
      </w:r>
      <w:r>
        <w:t>hole groups of students on the “pyramid of n</w:t>
      </w:r>
      <w:r w:rsidRPr="000B5D65">
        <w:t>umbers</w:t>
      </w:r>
      <w:r>
        <w:t>”</w:t>
      </w:r>
      <w:r w:rsidRPr="000B5D65">
        <w:t xml:space="preserve"> test items; in this case, the effect size was medium. </w:t>
      </w:r>
    </w:p>
    <w:p w14:paraId="69C9A329" w14:textId="553082F7" w:rsidR="001E5E0B" w:rsidRPr="000B5D65" w:rsidRDefault="001E5E0B" w:rsidP="00810D04">
      <w:pPr>
        <w:widowControl w:val="0"/>
        <w:spacing w:line="480" w:lineRule="auto"/>
        <w:ind w:firstLine="720"/>
      </w:pPr>
      <w:r w:rsidRPr="000B5D65">
        <w:t>With regard to the percentages of students who earned passing scores on the tests, the results are as follows. Seventy-seven percent of the students with LD passed in the enhanced condition, and 27% passed in the non-enhanced condition. Eigh</w:t>
      </w:r>
      <w:r>
        <w:t xml:space="preserve">ty-six percent of the </w:t>
      </w:r>
      <w:r w:rsidR="005729D0" w:rsidRPr="005729D0">
        <w:rPr>
          <w:b/>
          <w:bCs/>
        </w:rPr>
        <w:t>low achiever</w:t>
      </w:r>
      <w:r w:rsidRPr="005729D0">
        <w:rPr>
          <w:b/>
          <w:bCs/>
        </w:rPr>
        <w:t>s</w:t>
      </w:r>
      <w:r w:rsidRPr="000B5D65">
        <w:t xml:space="preserve"> passed in the enhanced condition, and 50% passed in the non-enhanced condition. Ninety</w:t>
      </w:r>
      <w:r>
        <w:t xml:space="preserve">-three percent of the </w:t>
      </w:r>
      <w:r w:rsidR="005729D0" w:rsidRPr="005729D0">
        <w:rPr>
          <w:b/>
          <w:bCs/>
        </w:rPr>
        <w:t>normal achiever</w:t>
      </w:r>
      <w:r w:rsidRPr="005729D0">
        <w:rPr>
          <w:b/>
          <w:bCs/>
        </w:rPr>
        <w:t>s</w:t>
      </w:r>
      <w:r w:rsidRPr="000B5D65">
        <w:t xml:space="preserve"> passed in the enhanced condition, and 71% passed in the non-enhanced </w:t>
      </w:r>
      <w:r>
        <w:t xml:space="preserve">condition. All of the </w:t>
      </w:r>
      <w:r w:rsidR="005729D0" w:rsidRPr="005729D0">
        <w:rPr>
          <w:b/>
          <w:bCs/>
        </w:rPr>
        <w:t>high achiever</w:t>
      </w:r>
      <w:r w:rsidRPr="005729D0">
        <w:rPr>
          <w:b/>
          <w:bCs/>
        </w:rPr>
        <w:t>s</w:t>
      </w:r>
      <w:r w:rsidRPr="000B5D65">
        <w:t xml:space="preserve"> passed in both conditions.  </w:t>
      </w:r>
    </w:p>
    <w:p w14:paraId="2AFBBB9B" w14:textId="4A9391F5" w:rsidR="00AF56F1" w:rsidRPr="000B5D65" w:rsidRDefault="00AF56F1" w:rsidP="00810D04">
      <w:pPr>
        <w:widowControl w:val="0"/>
        <w:spacing w:line="480" w:lineRule="auto"/>
        <w:rPr>
          <w:b/>
        </w:rPr>
      </w:pPr>
      <w:r w:rsidRPr="000B5D65">
        <w:rPr>
          <w:b/>
        </w:rPr>
        <w:t>The Question Exploration Routine</w:t>
      </w:r>
    </w:p>
    <w:p w14:paraId="574C34A2" w14:textId="77777777" w:rsidR="008C31DF" w:rsidRPr="000B5D65" w:rsidRDefault="008C31DF" w:rsidP="00810D04">
      <w:pPr>
        <w:widowControl w:val="0"/>
        <w:spacing w:line="480" w:lineRule="auto"/>
        <w:rPr>
          <w:i/>
        </w:rPr>
      </w:pPr>
      <w:r w:rsidRPr="000B5D65">
        <w:rPr>
          <w:b/>
          <w:i/>
        </w:rPr>
        <w:t>The R</w:t>
      </w:r>
      <w:r w:rsidR="005204FC" w:rsidRPr="000B5D65">
        <w:rPr>
          <w:b/>
          <w:i/>
        </w:rPr>
        <w:t>outine</w:t>
      </w:r>
      <w:r w:rsidRPr="000B5D65">
        <w:rPr>
          <w:b/>
          <w:i/>
        </w:rPr>
        <w:t xml:space="preserve"> Itself</w:t>
      </w:r>
      <w:r w:rsidR="005204FC" w:rsidRPr="000B5D65">
        <w:rPr>
          <w:i/>
        </w:rPr>
        <w:t xml:space="preserve"> </w:t>
      </w:r>
    </w:p>
    <w:p w14:paraId="165C91DD" w14:textId="0D0B9EB3" w:rsidR="00342DBD" w:rsidRPr="000B5D65" w:rsidRDefault="005204FC" w:rsidP="00810D04">
      <w:pPr>
        <w:widowControl w:val="0"/>
        <w:spacing w:line="480" w:lineRule="auto"/>
        <w:ind w:firstLine="720"/>
      </w:pPr>
      <w:r w:rsidRPr="000B5D65">
        <w:t>The Question Exploration Routine (</w:t>
      </w:r>
      <w:proofErr w:type="spellStart"/>
      <w:r w:rsidRPr="000B5D65">
        <w:t>Bulgren</w:t>
      </w:r>
      <w:proofErr w:type="spellEnd"/>
      <w:r w:rsidR="008C31DF" w:rsidRPr="000B5D65">
        <w:t xml:space="preserve"> et al., </w:t>
      </w:r>
      <w:r w:rsidRPr="000B5D65">
        <w:t xml:space="preserve">2001) </w:t>
      </w:r>
      <w:r w:rsidR="004708E6" w:rsidRPr="000B5D65">
        <w:t>was designed for teaching students information related to a critical question at the heart of a unit of study. For example, a critical question related to the U.S. Civil War in a U.S. history course might be “Why did the Southerners want to fight in the Civil War?”</w:t>
      </w:r>
      <w:r w:rsidR="0074013C" w:rsidRPr="000B5D65">
        <w:t xml:space="preserve"> Another one might be, “How did geography play a role in the U.S. Civil War?”</w:t>
      </w:r>
      <w:r w:rsidR="004708E6" w:rsidRPr="000B5D65">
        <w:t xml:space="preserve"> A critical question related to Shakespeare’s play </w:t>
      </w:r>
      <w:r w:rsidR="004708E6" w:rsidRPr="000B5D65">
        <w:rPr>
          <w:i/>
        </w:rPr>
        <w:t xml:space="preserve">Romeo and Juliet </w:t>
      </w:r>
      <w:r w:rsidR="004708E6" w:rsidRPr="000B5D65">
        <w:t xml:space="preserve">might be “Why did Shakespeare use events that can be explained either as </w:t>
      </w:r>
      <w:r w:rsidR="002846E4" w:rsidRPr="000B5D65">
        <w:t>‘</w:t>
      </w:r>
      <w:r w:rsidR="004708E6" w:rsidRPr="000B5D65">
        <w:t>chance</w:t>
      </w:r>
      <w:r w:rsidR="002846E4" w:rsidRPr="000B5D65">
        <w:t>’</w:t>
      </w:r>
      <w:r w:rsidR="004708E6" w:rsidRPr="000B5D65">
        <w:t xml:space="preserve"> or </w:t>
      </w:r>
      <w:r w:rsidR="002846E4" w:rsidRPr="000B5D65">
        <w:t>‘</w:t>
      </w:r>
      <w:r w:rsidR="004708E6" w:rsidRPr="000B5D65">
        <w:t>fate</w:t>
      </w:r>
      <w:r w:rsidR="002846E4" w:rsidRPr="000B5D65">
        <w:t>’</w:t>
      </w:r>
      <w:r w:rsidR="004708E6" w:rsidRPr="000B5D65">
        <w:t xml:space="preserve"> in </w:t>
      </w:r>
      <w:r w:rsidR="004708E6" w:rsidRPr="000B5D65">
        <w:rPr>
          <w:i/>
        </w:rPr>
        <w:t>Romeo and Juliet</w:t>
      </w:r>
      <w:r w:rsidR="004708E6" w:rsidRPr="000B5D65">
        <w:t>?” To proceed through the routine, the teacher begins by specifying the critical question. Next, the teacher engages the stude</w:t>
      </w:r>
      <w:r w:rsidR="008C31DF" w:rsidRPr="000B5D65">
        <w:t>nts in a discussion of the words</w:t>
      </w:r>
      <w:r w:rsidR="004708E6" w:rsidRPr="000B5D65">
        <w:t xml:space="preserve"> in the question and what they mean. </w:t>
      </w:r>
      <w:r w:rsidR="00BA3DB2" w:rsidRPr="00BA3DB2">
        <w:rPr>
          <w:b/>
          <w:bCs/>
        </w:rPr>
        <w:t xml:space="preserve">During this discussion, the teacher models the cognitive strategies involved </w:t>
      </w:r>
      <w:r w:rsidR="00BA3DB2" w:rsidRPr="00BA3DB2">
        <w:rPr>
          <w:b/>
          <w:bCs/>
        </w:rPr>
        <w:lastRenderedPageBreak/>
        <w:t xml:space="preserve">in </w:t>
      </w:r>
      <w:r w:rsidR="00BA3DB2">
        <w:rPr>
          <w:b/>
          <w:bCs/>
        </w:rPr>
        <w:t>looking for, finding</w:t>
      </w:r>
      <w:r w:rsidR="00BA3DB2" w:rsidRPr="00BA3DB2">
        <w:rPr>
          <w:b/>
          <w:bCs/>
        </w:rPr>
        <w:t>, and analyzing a word’s definition and then</w:t>
      </w:r>
      <w:r w:rsidR="00BA3DB2">
        <w:rPr>
          <w:b/>
          <w:bCs/>
        </w:rPr>
        <w:t xml:space="preserve"> using a paraphrasing strategy</w:t>
      </w:r>
      <w:r w:rsidR="00BA3DB2" w:rsidRPr="00BA3DB2">
        <w:rPr>
          <w:b/>
          <w:bCs/>
        </w:rPr>
        <w:t xml:space="preserve"> </w:t>
      </w:r>
      <w:r w:rsidR="00BA3DB2">
        <w:rPr>
          <w:b/>
          <w:bCs/>
        </w:rPr>
        <w:t xml:space="preserve">to </w:t>
      </w:r>
      <w:r w:rsidR="00BA3DB2" w:rsidRPr="00BA3DB2">
        <w:rPr>
          <w:b/>
          <w:bCs/>
        </w:rPr>
        <w:t>succinctly defin</w:t>
      </w:r>
      <w:r w:rsidR="00BA3DB2">
        <w:rPr>
          <w:b/>
          <w:bCs/>
        </w:rPr>
        <w:t xml:space="preserve">e </w:t>
      </w:r>
      <w:r w:rsidR="00BA3DB2" w:rsidRPr="00BA3DB2">
        <w:rPr>
          <w:b/>
          <w:bCs/>
        </w:rPr>
        <w:t>that word within the context of the critical question</w:t>
      </w:r>
      <w:r w:rsidR="00BA3DB2">
        <w:t xml:space="preserve">. </w:t>
      </w:r>
      <w:r w:rsidR="004708E6" w:rsidRPr="000B5D65">
        <w:t>Th</w:t>
      </w:r>
      <w:r w:rsidR="004C1928" w:rsidRPr="000B5D65">
        <w:t>en, the teacher and student</w:t>
      </w:r>
      <w:r w:rsidR="00CD31EE" w:rsidRPr="000B5D65">
        <w:t>s</w:t>
      </w:r>
      <w:r w:rsidR="004C1928" w:rsidRPr="000B5D65">
        <w:t xml:space="preserve"> create</w:t>
      </w:r>
      <w:r w:rsidR="004708E6" w:rsidRPr="000B5D65">
        <w:t xml:space="preserve"> and answer supporting questions that must be addressed before the cr</w:t>
      </w:r>
      <w:r w:rsidR="002846E4" w:rsidRPr="000B5D65">
        <w:t xml:space="preserve">itical question can be answered. </w:t>
      </w:r>
      <w:r w:rsidR="00BA3DB2" w:rsidRPr="00BA3DB2">
        <w:rPr>
          <w:b/>
          <w:bCs/>
        </w:rPr>
        <w:t xml:space="preserve">The teacher models a strategy to create a question that must be answered before the critical question can even be considered. For example, the teacher asks herself, “What do I need to know before I can even think about this critical question?” Then the teacher answers that question by stating, “I need to know the geography of the United States during this time.” Then the teacher models writing a sub-question like, “What was the geography of the United States at the time of the Civil War? Next, the teacher models a research strategy for finding information related to the geography of the United States. </w:t>
      </w:r>
      <w:r w:rsidR="003C22B6" w:rsidRPr="00BA3DB2">
        <w:rPr>
          <w:b/>
          <w:bCs/>
        </w:rPr>
        <w:t xml:space="preserve">The teacher </w:t>
      </w:r>
      <w:r w:rsidR="00BA3DB2" w:rsidRPr="00BA3DB2">
        <w:rPr>
          <w:b/>
          <w:bCs/>
        </w:rPr>
        <w:t xml:space="preserve">then </w:t>
      </w:r>
      <w:r w:rsidR="003C22B6" w:rsidRPr="00BA3DB2">
        <w:rPr>
          <w:b/>
          <w:bCs/>
        </w:rPr>
        <w:t xml:space="preserve">prompts the students to use these strategies </w:t>
      </w:r>
      <w:r w:rsidR="00BA3DB2" w:rsidRPr="00BA3DB2">
        <w:rPr>
          <w:b/>
          <w:bCs/>
        </w:rPr>
        <w:t xml:space="preserve">to create additional sub-questions </w:t>
      </w:r>
      <w:r w:rsidR="003C22B6" w:rsidRPr="00BA3DB2">
        <w:rPr>
          <w:b/>
          <w:bCs/>
        </w:rPr>
        <w:t>as the discussion proceeds.</w:t>
      </w:r>
      <w:r w:rsidR="003C22B6" w:rsidRPr="000B5D65">
        <w:t xml:space="preserve"> </w:t>
      </w:r>
      <w:r w:rsidR="002846E4" w:rsidRPr="000B5D65">
        <w:t>As a result, the students</w:t>
      </w:r>
      <w:r w:rsidR="004708E6" w:rsidRPr="000B5D65">
        <w:t xml:space="preserve"> </w:t>
      </w:r>
      <w:r w:rsidR="004C1928" w:rsidRPr="000B5D65">
        <w:t>learn strategies for creating</w:t>
      </w:r>
      <w:r w:rsidR="00CD31EE" w:rsidRPr="000B5D65">
        <w:t xml:space="preserve"> </w:t>
      </w:r>
      <w:r w:rsidR="00BA3DB2">
        <w:t>sub-</w:t>
      </w:r>
      <w:r w:rsidR="00CD31EE" w:rsidRPr="000B5D65">
        <w:t>questions, researching answers,</w:t>
      </w:r>
      <w:r w:rsidR="004C1928" w:rsidRPr="000B5D65">
        <w:t xml:space="preserve"> and answering questions. </w:t>
      </w:r>
      <w:r w:rsidR="004C1928" w:rsidRPr="005A648E">
        <w:rPr>
          <w:b/>
          <w:bCs/>
        </w:rPr>
        <w:t>Once they hav</w:t>
      </w:r>
      <w:r w:rsidR="003C22B6" w:rsidRPr="005A648E">
        <w:rPr>
          <w:b/>
          <w:bCs/>
        </w:rPr>
        <w:t>e engaged in this activity, the teacher shows the students how they can use their answers to the supporting questions to</w:t>
      </w:r>
      <w:r w:rsidR="004C1928" w:rsidRPr="005A648E">
        <w:rPr>
          <w:b/>
          <w:bCs/>
        </w:rPr>
        <w:t xml:space="preserve"> </w:t>
      </w:r>
      <w:r w:rsidR="003C22B6" w:rsidRPr="005A648E">
        <w:rPr>
          <w:b/>
          <w:bCs/>
        </w:rPr>
        <w:t>build</w:t>
      </w:r>
      <w:r w:rsidR="00342DBD" w:rsidRPr="005A648E">
        <w:rPr>
          <w:b/>
          <w:bCs/>
        </w:rPr>
        <w:t xml:space="preserve"> an</w:t>
      </w:r>
      <w:r w:rsidR="004708E6" w:rsidRPr="005A648E">
        <w:rPr>
          <w:b/>
          <w:bCs/>
        </w:rPr>
        <w:t xml:space="preserve"> answer </w:t>
      </w:r>
      <w:r w:rsidR="002846E4" w:rsidRPr="005A648E">
        <w:rPr>
          <w:b/>
          <w:bCs/>
        </w:rPr>
        <w:t xml:space="preserve">to </w:t>
      </w:r>
      <w:r w:rsidR="004708E6" w:rsidRPr="005A648E">
        <w:rPr>
          <w:b/>
          <w:bCs/>
        </w:rPr>
        <w:t>the critical question</w:t>
      </w:r>
      <w:r w:rsidR="003C22B6" w:rsidRPr="005A648E">
        <w:rPr>
          <w:b/>
          <w:bCs/>
        </w:rPr>
        <w:t>. Finally, the teacher prompts the students to</w:t>
      </w:r>
      <w:r w:rsidR="004708E6" w:rsidRPr="005A648E">
        <w:rPr>
          <w:b/>
          <w:bCs/>
        </w:rPr>
        <w:t xml:space="preserve"> </w:t>
      </w:r>
      <w:r w:rsidR="00BA3DB2" w:rsidRPr="005A648E">
        <w:rPr>
          <w:b/>
          <w:bCs/>
        </w:rPr>
        <w:t xml:space="preserve">use a strategy to </w:t>
      </w:r>
      <w:r w:rsidR="004708E6" w:rsidRPr="005A648E">
        <w:rPr>
          <w:b/>
          <w:bCs/>
        </w:rPr>
        <w:t>apply that answer to other situations and circumstances, including real-world usages</w:t>
      </w:r>
      <w:r w:rsidR="002846E4" w:rsidRPr="005A648E">
        <w:rPr>
          <w:b/>
          <w:bCs/>
        </w:rPr>
        <w:t xml:space="preserve"> that the teacher poses</w:t>
      </w:r>
      <w:r w:rsidR="004708E6" w:rsidRPr="000B5D65">
        <w:t xml:space="preserve">. </w:t>
      </w:r>
      <w:r w:rsidR="00342DBD" w:rsidRPr="000B5D65">
        <w:t>During the discussion, the teacher and students construct a Question Exploration Guide containing all the pertinent information related to the critical question.</w:t>
      </w:r>
      <w:r w:rsidR="004C1928" w:rsidRPr="000B5D65">
        <w:t xml:space="preserve"> (See Figure </w:t>
      </w:r>
      <w:r w:rsidR="00BA3DB2">
        <w:t>5</w:t>
      </w:r>
      <w:r w:rsidR="00242C05">
        <w:t xml:space="preserve"> for an example.</w:t>
      </w:r>
      <w:r w:rsidR="00781B31">
        <w:t xml:space="preserve"> See </w:t>
      </w:r>
      <w:proofErr w:type="spellStart"/>
      <w:r w:rsidR="00781B31">
        <w:t>Bulgren</w:t>
      </w:r>
      <w:proofErr w:type="spellEnd"/>
      <w:r w:rsidR="00781B31">
        <w:t xml:space="preserve"> et al., 2001, 2011 for other examples.</w:t>
      </w:r>
      <w:r w:rsidR="00242C05">
        <w:t>)</w:t>
      </w:r>
      <w:r w:rsidR="004C1928" w:rsidRPr="000B5D65">
        <w:t xml:space="preserve"> Through this process, they not only learn strategies for creating</w:t>
      </w:r>
      <w:r w:rsidR="003C22B6" w:rsidRPr="000B5D65">
        <w:t xml:space="preserve"> questions, researching answers,</w:t>
      </w:r>
      <w:r w:rsidR="004C1928" w:rsidRPr="000B5D65">
        <w:t xml:space="preserve"> and </w:t>
      </w:r>
      <w:r w:rsidR="003C22B6" w:rsidRPr="000B5D65">
        <w:t>stating answers</w:t>
      </w:r>
      <w:r w:rsidR="004C1928" w:rsidRPr="000B5D65">
        <w:t xml:space="preserve">, they also learn strategies for applying what they have learned to new situations and circumstances. </w:t>
      </w:r>
    </w:p>
    <w:p w14:paraId="2FF1B155" w14:textId="69089228" w:rsidR="00CE5D2D" w:rsidRPr="000B5D65" w:rsidRDefault="00053628" w:rsidP="00810D04">
      <w:pPr>
        <w:spacing w:line="480" w:lineRule="auto"/>
        <w:jc w:val="center"/>
      </w:pPr>
      <w:r w:rsidRPr="000B5D65">
        <w:t xml:space="preserve">Insert Figure </w:t>
      </w:r>
      <w:r w:rsidR="00BA3DB2">
        <w:t>5</w:t>
      </w:r>
      <w:r w:rsidRPr="000B5D65">
        <w:t xml:space="preserve"> </w:t>
      </w:r>
      <w:r w:rsidR="00CD0769" w:rsidRPr="000B5D65">
        <w:t xml:space="preserve">about </w:t>
      </w:r>
      <w:r w:rsidR="00D17F35" w:rsidRPr="000B5D65">
        <w:t>here</w:t>
      </w:r>
    </w:p>
    <w:p w14:paraId="61B67404" w14:textId="192E54B3" w:rsidR="008C31DF" w:rsidRPr="000B5D65" w:rsidRDefault="00CD0769" w:rsidP="00810D04">
      <w:pPr>
        <w:pStyle w:val="NormalWeb"/>
        <w:spacing w:before="0" w:beforeAutospacing="0" w:after="0" w:afterAutospacing="0" w:line="480" w:lineRule="auto"/>
        <w:textAlignment w:val="baseline"/>
        <w:rPr>
          <w:rFonts w:ascii="Times New Roman" w:hAnsi="Times New Roman"/>
          <w:b/>
          <w:i/>
          <w:sz w:val="24"/>
          <w:szCs w:val="24"/>
        </w:rPr>
      </w:pPr>
      <w:r w:rsidRPr="000B5D65">
        <w:rPr>
          <w:rFonts w:ascii="Times New Roman" w:hAnsi="Times New Roman"/>
          <w:b/>
          <w:i/>
          <w:sz w:val="24"/>
          <w:szCs w:val="24"/>
        </w:rPr>
        <w:lastRenderedPageBreak/>
        <w:t>One</w:t>
      </w:r>
      <w:r w:rsidR="00342DBD" w:rsidRPr="000B5D65">
        <w:rPr>
          <w:rFonts w:ascii="Times New Roman" w:hAnsi="Times New Roman"/>
          <w:b/>
          <w:i/>
          <w:sz w:val="24"/>
          <w:szCs w:val="24"/>
        </w:rPr>
        <w:t xml:space="preserve"> </w:t>
      </w:r>
      <w:r w:rsidR="008C31DF" w:rsidRPr="000B5D65">
        <w:rPr>
          <w:rFonts w:ascii="Times New Roman" w:hAnsi="Times New Roman"/>
          <w:b/>
          <w:i/>
          <w:sz w:val="24"/>
          <w:szCs w:val="24"/>
        </w:rPr>
        <w:t>Original V</w:t>
      </w:r>
      <w:r w:rsidR="00342DBD" w:rsidRPr="000B5D65">
        <w:rPr>
          <w:rFonts w:ascii="Times New Roman" w:hAnsi="Times New Roman"/>
          <w:b/>
          <w:i/>
          <w:sz w:val="24"/>
          <w:szCs w:val="24"/>
        </w:rPr>
        <w:t xml:space="preserve">alidation </w:t>
      </w:r>
      <w:r w:rsidR="009B449A" w:rsidRPr="000B5D65">
        <w:rPr>
          <w:rFonts w:ascii="Times New Roman" w:hAnsi="Times New Roman"/>
          <w:b/>
          <w:i/>
          <w:sz w:val="24"/>
          <w:szCs w:val="24"/>
        </w:rPr>
        <w:t>Stud</w:t>
      </w:r>
      <w:r w:rsidR="00C642F5" w:rsidRPr="000B5D65">
        <w:rPr>
          <w:rFonts w:ascii="Times New Roman" w:hAnsi="Times New Roman"/>
          <w:b/>
          <w:i/>
          <w:sz w:val="24"/>
          <w:szCs w:val="24"/>
        </w:rPr>
        <w:t>y</w:t>
      </w:r>
      <w:r w:rsidR="009B449A" w:rsidRPr="000B5D65">
        <w:rPr>
          <w:rStyle w:val="FootnoteReference"/>
          <w:rFonts w:ascii="Times New Roman" w:hAnsi="Times New Roman"/>
          <w:b/>
          <w:i/>
          <w:sz w:val="24"/>
          <w:szCs w:val="24"/>
        </w:rPr>
        <w:footnoteReference w:id="1"/>
      </w:r>
      <w:r w:rsidR="00852A79" w:rsidRPr="000B5D65">
        <w:rPr>
          <w:rFonts w:ascii="Times New Roman" w:hAnsi="Times New Roman"/>
          <w:b/>
          <w:i/>
          <w:sz w:val="24"/>
          <w:szCs w:val="24"/>
        </w:rPr>
        <w:t xml:space="preserve"> </w:t>
      </w:r>
      <w:r w:rsidRPr="000B5D65">
        <w:rPr>
          <w:rFonts w:ascii="Times New Roman" w:hAnsi="Times New Roman"/>
          <w:b/>
          <w:i/>
          <w:sz w:val="24"/>
          <w:szCs w:val="24"/>
        </w:rPr>
        <w:t>for the Question Exploration Routine</w:t>
      </w:r>
    </w:p>
    <w:p w14:paraId="3BAA3630" w14:textId="5AC6835E" w:rsidR="0074013C" w:rsidRPr="000B5D65" w:rsidRDefault="009D61B1" w:rsidP="00810D04">
      <w:pPr>
        <w:pStyle w:val="NormalWeb"/>
        <w:spacing w:before="0" w:beforeAutospacing="0" w:after="0" w:afterAutospacing="0" w:line="480" w:lineRule="auto"/>
        <w:ind w:firstLine="720"/>
        <w:textAlignment w:val="baseline"/>
        <w:rPr>
          <w:rFonts w:ascii="Times New Roman" w:hAnsi="Times New Roman"/>
          <w:sz w:val="24"/>
          <w:szCs w:val="24"/>
        </w:rPr>
      </w:pPr>
      <w:r w:rsidRPr="000B5D65">
        <w:rPr>
          <w:rFonts w:ascii="Times New Roman" w:hAnsi="Times New Roman"/>
          <w:sz w:val="24"/>
          <w:szCs w:val="24"/>
        </w:rPr>
        <w:t>In one</w:t>
      </w:r>
      <w:r w:rsidR="00281B8C" w:rsidRPr="000B5D65">
        <w:rPr>
          <w:rFonts w:ascii="Times New Roman" w:hAnsi="Times New Roman"/>
          <w:sz w:val="24"/>
          <w:szCs w:val="24"/>
        </w:rPr>
        <w:t xml:space="preserve"> study on the Qu</w:t>
      </w:r>
      <w:r w:rsidR="00804669" w:rsidRPr="000B5D65">
        <w:rPr>
          <w:rFonts w:ascii="Times New Roman" w:hAnsi="Times New Roman"/>
          <w:sz w:val="24"/>
          <w:szCs w:val="24"/>
        </w:rPr>
        <w:t>estion Exploration Routine</w:t>
      </w:r>
      <w:r w:rsidR="00F82980" w:rsidRPr="000B5D65">
        <w:rPr>
          <w:rFonts w:ascii="Times New Roman" w:hAnsi="Times New Roman"/>
          <w:sz w:val="24"/>
          <w:szCs w:val="24"/>
        </w:rPr>
        <w:t xml:space="preserve"> (QER)</w:t>
      </w:r>
      <w:r w:rsidR="00281B8C" w:rsidRPr="000B5D65">
        <w:rPr>
          <w:rFonts w:ascii="Times New Roman" w:hAnsi="Times New Roman"/>
          <w:sz w:val="24"/>
          <w:szCs w:val="24"/>
        </w:rPr>
        <w:t xml:space="preserve">, </w:t>
      </w:r>
      <w:proofErr w:type="spellStart"/>
      <w:r w:rsidR="00342DBD" w:rsidRPr="000B5D65">
        <w:rPr>
          <w:rFonts w:ascii="Times New Roman" w:hAnsi="Times New Roman"/>
          <w:sz w:val="24"/>
          <w:szCs w:val="24"/>
        </w:rPr>
        <w:t>Bulgren</w:t>
      </w:r>
      <w:proofErr w:type="spellEnd"/>
      <w:r w:rsidR="008C31DF" w:rsidRPr="000B5D65">
        <w:rPr>
          <w:rFonts w:ascii="Times New Roman" w:hAnsi="Times New Roman"/>
          <w:sz w:val="24"/>
          <w:szCs w:val="24"/>
        </w:rPr>
        <w:t xml:space="preserve"> et al.</w:t>
      </w:r>
      <w:r w:rsidR="00342DBD" w:rsidRPr="000B5D65">
        <w:rPr>
          <w:rFonts w:ascii="Times New Roman" w:hAnsi="Times New Roman"/>
          <w:sz w:val="24"/>
          <w:szCs w:val="24"/>
        </w:rPr>
        <w:t xml:space="preserve"> (</w:t>
      </w:r>
      <w:r w:rsidR="003F7F75" w:rsidRPr="000B5D65">
        <w:rPr>
          <w:rFonts w:ascii="Times New Roman" w:hAnsi="Times New Roman"/>
          <w:sz w:val="24"/>
          <w:szCs w:val="24"/>
        </w:rPr>
        <w:t>201</w:t>
      </w:r>
      <w:r w:rsidR="00C642F5" w:rsidRPr="000B5D65">
        <w:rPr>
          <w:rFonts w:ascii="Times New Roman" w:hAnsi="Times New Roman"/>
          <w:sz w:val="24"/>
          <w:szCs w:val="24"/>
        </w:rPr>
        <w:t>1)</w:t>
      </w:r>
      <w:r w:rsidR="00281B8C" w:rsidRPr="000B5D65">
        <w:rPr>
          <w:rFonts w:ascii="Times New Roman" w:hAnsi="Times New Roman"/>
          <w:sz w:val="24"/>
          <w:szCs w:val="24"/>
        </w:rPr>
        <w:t xml:space="preserve"> focused the instruction on science information</w:t>
      </w:r>
      <w:r w:rsidR="008532B3">
        <w:rPr>
          <w:rFonts w:ascii="Times New Roman" w:hAnsi="Times New Roman"/>
          <w:sz w:val="24"/>
          <w:szCs w:val="24"/>
        </w:rPr>
        <w:t>. They</w:t>
      </w:r>
      <w:r w:rsidR="00281B8C" w:rsidRPr="000B5D65">
        <w:rPr>
          <w:rFonts w:ascii="Times New Roman" w:hAnsi="Times New Roman"/>
          <w:sz w:val="24"/>
          <w:szCs w:val="24"/>
        </w:rPr>
        <w:t xml:space="preserve"> used</w:t>
      </w:r>
      <w:r w:rsidR="0074013C" w:rsidRPr="000B5D65">
        <w:rPr>
          <w:rFonts w:ascii="Times New Roman" w:hAnsi="Times New Roman"/>
          <w:sz w:val="24"/>
          <w:szCs w:val="24"/>
        </w:rPr>
        <w:t xml:space="preserve"> a counterbalanced design</w:t>
      </w:r>
      <w:r w:rsidR="008532B3">
        <w:rPr>
          <w:rFonts w:ascii="Times New Roman" w:hAnsi="Times New Roman"/>
          <w:sz w:val="24"/>
          <w:szCs w:val="24"/>
        </w:rPr>
        <w:t xml:space="preserve"> </w:t>
      </w:r>
      <w:r w:rsidR="008532B3" w:rsidRPr="008532B3">
        <w:rPr>
          <w:rFonts w:ascii="Times New Roman" w:hAnsi="Times New Roman"/>
          <w:b/>
          <w:bCs/>
          <w:sz w:val="24"/>
          <w:szCs w:val="24"/>
        </w:rPr>
        <w:t>with random assignment to conditions</w:t>
      </w:r>
      <w:r w:rsidR="005729D0">
        <w:rPr>
          <w:rFonts w:ascii="Times New Roman" w:hAnsi="Times New Roman"/>
          <w:b/>
          <w:bCs/>
          <w:sz w:val="24"/>
          <w:szCs w:val="24"/>
        </w:rPr>
        <w:t xml:space="preserve"> </w:t>
      </w:r>
      <w:r w:rsidR="00BD7382" w:rsidRPr="008532B3">
        <w:rPr>
          <w:rFonts w:ascii="Times New Roman" w:hAnsi="Times New Roman"/>
          <w:b/>
          <w:bCs/>
          <w:sz w:val="24"/>
          <w:szCs w:val="24"/>
        </w:rPr>
        <w:t xml:space="preserve">and </w:t>
      </w:r>
      <w:r w:rsidR="008532B3" w:rsidRPr="008532B3">
        <w:rPr>
          <w:rFonts w:ascii="Times New Roman" w:hAnsi="Times New Roman"/>
          <w:b/>
          <w:bCs/>
          <w:sz w:val="24"/>
          <w:szCs w:val="24"/>
        </w:rPr>
        <w:t>employed</w:t>
      </w:r>
      <w:r w:rsidR="00BD7382" w:rsidRPr="008532B3">
        <w:rPr>
          <w:rFonts w:ascii="Times New Roman" w:hAnsi="Times New Roman"/>
          <w:b/>
          <w:bCs/>
          <w:sz w:val="24"/>
          <w:szCs w:val="24"/>
        </w:rPr>
        <w:t xml:space="preserve"> </w:t>
      </w:r>
      <w:r w:rsidR="00BD7382" w:rsidRPr="000B5D65">
        <w:rPr>
          <w:rFonts w:ascii="Times New Roman" w:hAnsi="Times New Roman"/>
          <w:sz w:val="24"/>
          <w:szCs w:val="24"/>
        </w:rPr>
        <w:t>a test similar to tests employed in subject-area classes</w:t>
      </w:r>
      <w:r w:rsidR="0074013C" w:rsidRPr="000B5D65">
        <w:rPr>
          <w:rFonts w:ascii="Times New Roman" w:hAnsi="Times New Roman"/>
          <w:sz w:val="24"/>
          <w:szCs w:val="24"/>
        </w:rPr>
        <w:t>. Two critical</w:t>
      </w:r>
      <w:r w:rsidR="005564F2" w:rsidRPr="000B5D65">
        <w:rPr>
          <w:rFonts w:ascii="Times New Roman" w:hAnsi="Times New Roman"/>
          <w:sz w:val="24"/>
          <w:szCs w:val="24"/>
        </w:rPr>
        <w:t xml:space="preserve"> (and parallel)</w:t>
      </w:r>
      <w:r w:rsidR="0074013C" w:rsidRPr="000B5D65">
        <w:rPr>
          <w:rFonts w:ascii="Times New Roman" w:hAnsi="Times New Roman"/>
          <w:sz w:val="24"/>
          <w:szCs w:val="24"/>
        </w:rPr>
        <w:t xml:space="preserve"> questions were chosen for the lessons: one </w:t>
      </w:r>
      <w:r w:rsidR="00CD0769" w:rsidRPr="000B5D65">
        <w:rPr>
          <w:rFonts w:ascii="Times New Roman" w:hAnsi="Times New Roman"/>
          <w:sz w:val="24"/>
          <w:szCs w:val="24"/>
        </w:rPr>
        <w:t xml:space="preserve">was </w:t>
      </w:r>
      <w:r w:rsidR="0074013C" w:rsidRPr="000B5D65">
        <w:rPr>
          <w:rFonts w:ascii="Times New Roman" w:hAnsi="Times New Roman"/>
          <w:sz w:val="24"/>
          <w:szCs w:val="24"/>
        </w:rPr>
        <w:t xml:space="preserve">related to biological warfare </w:t>
      </w:r>
      <w:r w:rsidR="00D11810" w:rsidRPr="000B5D65">
        <w:rPr>
          <w:rFonts w:ascii="Times New Roman" w:hAnsi="Times New Roman"/>
          <w:sz w:val="24"/>
          <w:szCs w:val="24"/>
        </w:rPr>
        <w:t>(“Why are biological weapons such a great danger?”)</w:t>
      </w:r>
      <w:r w:rsidR="00CD0769" w:rsidRPr="000B5D65">
        <w:rPr>
          <w:rFonts w:ascii="Times New Roman" w:hAnsi="Times New Roman"/>
          <w:sz w:val="24"/>
          <w:szCs w:val="24"/>
        </w:rPr>
        <w:t>;</w:t>
      </w:r>
      <w:r w:rsidR="00D11810" w:rsidRPr="000B5D65">
        <w:rPr>
          <w:rFonts w:ascii="Times New Roman" w:hAnsi="Times New Roman"/>
          <w:sz w:val="24"/>
          <w:szCs w:val="24"/>
        </w:rPr>
        <w:t xml:space="preserve"> </w:t>
      </w:r>
      <w:r w:rsidR="0074013C" w:rsidRPr="000B5D65">
        <w:rPr>
          <w:rFonts w:ascii="Times New Roman" w:hAnsi="Times New Roman"/>
          <w:sz w:val="24"/>
          <w:szCs w:val="24"/>
        </w:rPr>
        <w:t>and the other</w:t>
      </w:r>
      <w:r w:rsidR="00CD0769" w:rsidRPr="000B5D65">
        <w:rPr>
          <w:rFonts w:ascii="Times New Roman" w:hAnsi="Times New Roman"/>
          <w:sz w:val="24"/>
          <w:szCs w:val="24"/>
        </w:rPr>
        <w:t xml:space="preserve"> was</w:t>
      </w:r>
      <w:r w:rsidR="0074013C" w:rsidRPr="000B5D65">
        <w:rPr>
          <w:rFonts w:ascii="Times New Roman" w:hAnsi="Times New Roman"/>
          <w:sz w:val="24"/>
          <w:szCs w:val="24"/>
        </w:rPr>
        <w:t xml:space="preserve"> related to chemical warfare</w:t>
      </w:r>
      <w:r w:rsidR="00D11810" w:rsidRPr="000B5D65">
        <w:rPr>
          <w:rFonts w:ascii="Times New Roman" w:hAnsi="Times New Roman"/>
          <w:sz w:val="24"/>
          <w:szCs w:val="24"/>
        </w:rPr>
        <w:t xml:space="preserve"> (“Why are chemical weapons such a great danger?”)</w:t>
      </w:r>
      <w:r w:rsidR="0074013C" w:rsidRPr="000B5D65">
        <w:rPr>
          <w:rFonts w:ascii="Times New Roman" w:hAnsi="Times New Roman"/>
          <w:sz w:val="24"/>
          <w:szCs w:val="24"/>
        </w:rPr>
        <w:t xml:space="preserve">. </w:t>
      </w:r>
      <w:r w:rsidR="00492E5E" w:rsidRPr="000B5D65">
        <w:rPr>
          <w:rFonts w:ascii="Times New Roman" w:hAnsi="Times New Roman"/>
          <w:sz w:val="24"/>
          <w:szCs w:val="24"/>
        </w:rPr>
        <w:t xml:space="preserve"> Parallel scripts were written for both questions, and lesson plans containing the same information were created for use with the QER and with the lecture method. </w:t>
      </w:r>
      <w:r w:rsidR="0074013C" w:rsidRPr="000B5D65">
        <w:rPr>
          <w:rFonts w:ascii="Times New Roman" w:hAnsi="Times New Roman"/>
          <w:sz w:val="24"/>
          <w:szCs w:val="24"/>
        </w:rPr>
        <w:t>Participants wer</w:t>
      </w:r>
      <w:r w:rsidR="002F39C1">
        <w:rPr>
          <w:rFonts w:ascii="Times New Roman" w:hAnsi="Times New Roman"/>
          <w:sz w:val="24"/>
          <w:szCs w:val="24"/>
        </w:rPr>
        <w:t>e 116 students in seven, 7</w:t>
      </w:r>
      <w:r w:rsidR="002F39C1" w:rsidRPr="002F39C1">
        <w:rPr>
          <w:rFonts w:ascii="Times New Roman" w:hAnsi="Times New Roman"/>
          <w:sz w:val="24"/>
          <w:szCs w:val="24"/>
          <w:vertAlign w:val="superscript"/>
        </w:rPr>
        <w:t>th</w:t>
      </w:r>
      <w:r w:rsidR="0074013C" w:rsidRPr="000B5D65">
        <w:rPr>
          <w:rFonts w:ascii="Times New Roman" w:hAnsi="Times New Roman"/>
          <w:sz w:val="24"/>
          <w:szCs w:val="24"/>
        </w:rPr>
        <w:t>-grade</w:t>
      </w:r>
      <w:r w:rsidR="003A19A9" w:rsidRPr="000B5D65">
        <w:rPr>
          <w:rFonts w:ascii="Times New Roman" w:hAnsi="Times New Roman"/>
          <w:sz w:val="24"/>
          <w:szCs w:val="24"/>
        </w:rPr>
        <w:t xml:space="preserve"> inclusive</w:t>
      </w:r>
      <w:r w:rsidR="0074013C" w:rsidRPr="000B5D65">
        <w:rPr>
          <w:rFonts w:ascii="Times New Roman" w:hAnsi="Times New Roman"/>
          <w:sz w:val="24"/>
          <w:szCs w:val="24"/>
        </w:rPr>
        <w:t xml:space="preserve"> classes. </w:t>
      </w:r>
      <w:r w:rsidR="00492E5E" w:rsidRPr="000B5D65">
        <w:rPr>
          <w:rFonts w:ascii="Times New Roman" w:hAnsi="Times New Roman"/>
          <w:sz w:val="24"/>
          <w:szCs w:val="24"/>
        </w:rPr>
        <w:t>A counterbalanced design was used whereby each student experienced both conditions</w:t>
      </w:r>
      <w:r w:rsidR="00FA5B4A" w:rsidRPr="000B5D65">
        <w:rPr>
          <w:rFonts w:ascii="Times New Roman" w:hAnsi="Times New Roman"/>
          <w:sz w:val="24"/>
          <w:szCs w:val="24"/>
        </w:rPr>
        <w:t>, with the order of conditions and topics randomly assigned to the classes</w:t>
      </w:r>
      <w:r w:rsidR="00492E5E" w:rsidRPr="000B5D65">
        <w:rPr>
          <w:rFonts w:ascii="Times New Roman" w:hAnsi="Times New Roman"/>
          <w:sz w:val="24"/>
          <w:szCs w:val="24"/>
        </w:rPr>
        <w:t xml:space="preserve">. </w:t>
      </w:r>
      <w:r w:rsidR="008532B3">
        <w:rPr>
          <w:rFonts w:ascii="Times New Roman" w:hAnsi="Times New Roman"/>
          <w:sz w:val="24"/>
          <w:szCs w:val="24"/>
        </w:rPr>
        <w:t>Thus, the classes served as each other</w:t>
      </w:r>
      <w:r w:rsidR="005729D0">
        <w:rPr>
          <w:rFonts w:ascii="Times New Roman" w:hAnsi="Times New Roman"/>
          <w:sz w:val="24"/>
          <w:szCs w:val="24"/>
        </w:rPr>
        <w:t>’s</w:t>
      </w:r>
      <w:r w:rsidR="008532B3">
        <w:rPr>
          <w:rFonts w:ascii="Times New Roman" w:hAnsi="Times New Roman"/>
          <w:sz w:val="24"/>
          <w:szCs w:val="24"/>
        </w:rPr>
        <w:t xml:space="preserve"> controls. </w:t>
      </w:r>
      <w:r w:rsidR="00FA5B4A" w:rsidRPr="000B5D65">
        <w:rPr>
          <w:rFonts w:ascii="Times New Roman" w:hAnsi="Times New Roman"/>
          <w:sz w:val="24"/>
          <w:szCs w:val="24"/>
        </w:rPr>
        <w:t>The same instructor</w:t>
      </w:r>
      <w:r w:rsidR="00081A85">
        <w:rPr>
          <w:rFonts w:ascii="Times New Roman" w:hAnsi="Times New Roman"/>
          <w:sz w:val="24"/>
          <w:szCs w:val="24"/>
        </w:rPr>
        <w:t xml:space="preserve">, </w:t>
      </w:r>
      <w:proofErr w:type="spellStart"/>
      <w:r w:rsidR="00081A85">
        <w:rPr>
          <w:rFonts w:ascii="Times New Roman" w:hAnsi="Times New Roman"/>
          <w:sz w:val="24"/>
          <w:szCs w:val="24"/>
        </w:rPr>
        <w:t>Bulgren</w:t>
      </w:r>
      <w:proofErr w:type="spellEnd"/>
      <w:r w:rsidR="00081A85">
        <w:rPr>
          <w:rFonts w:ascii="Times New Roman" w:hAnsi="Times New Roman"/>
          <w:sz w:val="24"/>
          <w:szCs w:val="24"/>
        </w:rPr>
        <w:t>,</w:t>
      </w:r>
      <w:r w:rsidR="00FA5B4A" w:rsidRPr="000B5D65">
        <w:rPr>
          <w:rFonts w:ascii="Times New Roman" w:hAnsi="Times New Roman"/>
          <w:sz w:val="24"/>
          <w:szCs w:val="24"/>
        </w:rPr>
        <w:t xml:space="preserve"> provided all the instruction. </w:t>
      </w:r>
      <w:r w:rsidR="0074013C" w:rsidRPr="000B5D65">
        <w:rPr>
          <w:rFonts w:ascii="Times New Roman" w:hAnsi="Times New Roman"/>
          <w:sz w:val="24"/>
          <w:szCs w:val="24"/>
        </w:rPr>
        <w:t>A written test, which included matching, multiple-choice</w:t>
      </w:r>
      <w:r w:rsidR="00FA5B4A" w:rsidRPr="000B5D65">
        <w:rPr>
          <w:rFonts w:ascii="Times New Roman" w:hAnsi="Times New Roman"/>
          <w:sz w:val="24"/>
          <w:szCs w:val="24"/>
        </w:rPr>
        <w:t>, and short-answer items</w:t>
      </w:r>
      <w:r w:rsidR="0074013C" w:rsidRPr="000B5D65">
        <w:rPr>
          <w:rFonts w:ascii="Times New Roman" w:hAnsi="Times New Roman"/>
          <w:sz w:val="24"/>
          <w:szCs w:val="24"/>
        </w:rPr>
        <w:t xml:space="preserve"> </w:t>
      </w:r>
      <w:r w:rsidR="00CD0769" w:rsidRPr="000B5D65">
        <w:rPr>
          <w:rFonts w:ascii="Times New Roman" w:hAnsi="Times New Roman"/>
          <w:sz w:val="24"/>
          <w:szCs w:val="24"/>
        </w:rPr>
        <w:t xml:space="preserve">about the two topics that were </w:t>
      </w:r>
      <w:r w:rsidR="0074013C" w:rsidRPr="000B5D65">
        <w:rPr>
          <w:rFonts w:ascii="Times New Roman" w:hAnsi="Times New Roman"/>
          <w:sz w:val="24"/>
          <w:szCs w:val="24"/>
        </w:rPr>
        <w:t>rando</w:t>
      </w:r>
      <w:r w:rsidR="00CD0769" w:rsidRPr="000B5D65">
        <w:rPr>
          <w:rFonts w:ascii="Times New Roman" w:hAnsi="Times New Roman"/>
          <w:sz w:val="24"/>
          <w:szCs w:val="24"/>
        </w:rPr>
        <w:t>mly intermixed</w:t>
      </w:r>
      <w:r w:rsidR="0074013C" w:rsidRPr="000B5D65">
        <w:rPr>
          <w:rFonts w:ascii="Times New Roman" w:hAnsi="Times New Roman"/>
          <w:sz w:val="24"/>
          <w:szCs w:val="24"/>
        </w:rPr>
        <w:t xml:space="preserve">, assessed student knowledge. The scores of students in several subgroups were monitored: </w:t>
      </w:r>
      <w:r w:rsidR="0074013C" w:rsidRPr="008532B3">
        <w:rPr>
          <w:rFonts w:ascii="Times New Roman" w:hAnsi="Times New Roman"/>
          <w:b/>
          <w:bCs/>
          <w:sz w:val="24"/>
          <w:szCs w:val="24"/>
        </w:rPr>
        <w:t>students with disabilities, low achievers, average achievers, and high achievers.</w:t>
      </w:r>
    </w:p>
    <w:p w14:paraId="27372E9F" w14:textId="59897947" w:rsidR="00CD0769" w:rsidRPr="000B5D65" w:rsidRDefault="00CD0769" w:rsidP="00810D04">
      <w:pPr>
        <w:pStyle w:val="NormalWeb"/>
        <w:widowControl w:val="0"/>
        <w:spacing w:before="0" w:beforeAutospacing="0" w:after="0" w:afterAutospacing="0" w:line="480" w:lineRule="auto"/>
        <w:jc w:val="center"/>
        <w:textAlignment w:val="baseline"/>
        <w:rPr>
          <w:rFonts w:ascii="Times New Roman" w:hAnsi="Times New Roman"/>
          <w:sz w:val="24"/>
          <w:szCs w:val="24"/>
        </w:rPr>
      </w:pPr>
      <w:r w:rsidRPr="000B5D65">
        <w:rPr>
          <w:rFonts w:ascii="Times New Roman" w:hAnsi="Times New Roman"/>
          <w:sz w:val="24"/>
          <w:szCs w:val="24"/>
        </w:rPr>
        <w:t xml:space="preserve">Insert Table </w:t>
      </w:r>
      <w:r w:rsidR="005729D0">
        <w:rPr>
          <w:rFonts w:ascii="Times New Roman" w:hAnsi="Times New Roman"/>
          <w:sz w:val="24"/>
          <w:szCs w:val="24"/>
        </w:rPr>
        <w:t>4</w:t>
      </w:r>
      <w:r w:rsidRPr="000B5D65">
        <w:rPr>
          <w:rFonts w:ascii="Times New Roman" w:hAnsi="Times New Roman"/>
          <w:sz w:val="24"/>
          <w:szCs w:val="24"/>
        </w:rPr>
        <w:t xml:space="preserve"> about here</w:t>
      </w:r>
    </w:p>
    <w:p w14:paraId="451593D0" w14:textId="7E50F30E" w:rsidR="0073652D" w:rsidRPr="000B5D65" w:rsidRDefault="00CD0769" w:rsidP="00810D04">
      <w:pPr>
        <w:pStyle w:val="NormalWeb"/>
        <w:widowControl w:val="0"/>
        <w:spacing w:before="0" w:beforeAutospacing="0" w:after="0" w:afterAutospacing="0" w:line="480" w:lineRule="auto"/>
        <w:ind w:firstLine="720"/>
        <w:textAlignment w:val="baseline"/>
        <w:rPr>
          <w:rFonts w:ascii="Times New Roman" w:hAnsi="Times New Roman"/>
          <w:sz w:val="24"/>
          <w:szCs w:val="24"/>
        </w:rPr>
      </w:pPr>
      <w:r w:rsidRPr="000B5D65">
        <w:rPr>
          <w:rFonts w:ascii="Times New Roman" w:hAnsi="Times New Roman"/>
          <w:sz w:val="24"/>
          <w:szCs w:val="24"/>
        </w:rPr>
        <w:t xml:space="preserve">The results of the </w:t>
      </w:r>
      <w:proofErr w:type="spellStart"/>
      <w:r w:rsidRPr="000B5D65">
        <w:rPr>
          <w:rFonts w:ascii="Times New Roman" w:hAnsi="Times New Roman"/>
          <w:sz w:val="24"/>
          <w:szCs w:val="24"/>
        </w:rPr>
        <w:t>Bulgren</w:t>
      </w:r>
      <w:proofErr w:type="spellEnd"/>
      <w:r w:rsidRPr="000B5D65">
        <w:rPr>
          <w:rFonts w:ascii="Times New Roman" w:hAnsi="Times New Roman"/>
          <w:sz w:val="24"/>
          <w:szCs w:val="24"/>
        </w:rPr>
        <w:t xml:space="preserve"> et al. (2011) </w:t>
      </w:r>
      <w:r w:rsidR="00F82980" w:rsidRPr="000B5D65">
        <w:rPr>
          <w:rFonts w:ascii="Times New Roman" w:hAnsi="Times New Roman"/>
          <w:sz w:val="24"/>
          <w:szCs w:val="24"/>
        </w:rPr>
        <w:t xml:space="preserve">study are displayed in Table </w:t>
      </w:r>
      <w:r w:rsidR="005729D0">
        <w:rPr>
          <w:rFonts w:ascii="Times New Roman" w:hAnsi="Times New Roman"/>
          <w:sz w:val="24"/>
          <w:szCs w:val="24"/>
        </w:rPr>
        <w:t>4</w:t>
      </w:r>
      <w:r w:rsidR="00F82980" w:rsidRPr="000B5D65">
        <w:rPr>
          <w:rFonts w:ascii="Times New Roman" w:hAnsi="Times New Roman"/>
          <w:sz w:val="24"/>
          <w:szCs w:val="24"/>
        </w:rPr>
        <w:t>, including the mean test scores for the whole student groups and the subgroup, as well as the between-group comparisons. The whole group of s</w:t>
      </w:r>
      <w:r w:rsidR="0074013C" w:rsidRPr="000B5D65">
        <w:rPr>
          <w:rFonts w:ascii="Times New Roman" w:hAnsi="Times New Roman"/>
          <w:sz w:val="24"/>
          <w:szCs w:val="24"/>
        </w:rPr>
        <w:t xml:space="preserve">tudents </w:t>
      </w:r>
      <w:r w:rsidRPr="000B5D65">
        <w:rPr>
          <w:rFonts w:ascii="Times New Roman" w:hAnsi="Times New Roman"/>
          <w:sz w:val="24"/>
          <w:szCs w:val="24"/>
        </w:rPr>
        <w:t xml:space="preserve">who participated in the routine </w:t>
      </w:r>
      <w:r w:rsidR="00F82980" w:rsidRPr="000B5D65">
        <w:rPr>
          <w:rFonts w:ascii="Times New Roman" w:hAnsi="Times New Roman"/>
          <w:sz w:val="24"/>
          <w:szCs w:val="24"/>
        </w:rPr>
        <w:t xml:space="preserve">while learning </w:t>
      </w:r>
      <w:r w:rsidRPr="000B5D65">
        <w:rPr>
          <w:rFonts w:ascii="Times New Roman" w:hAnsi="Times New Roman"/>
          <w:sz w:val="24"/>
          <w:szCs w:val="24"/>
        </w:rPr>
        <w:t>about</w:t>
      </w:r>
      <w:r w:rsidR="0074013C" w:rsidRPr="000B5D65">
        <w:rPr>
          <w:rFonts w:ascii="Times New Roman" w:hAnsi="Times New Roman"/>
          <w:sz w:val="24"/>
          <w:szCs w:val="24"/>
        </w:rPr>
        <w:t xml:space="preserve"> the chemical weapons topic earned significantly higher percentage scores on the chemical weapons</w:t>
      </w:r>
      <w:r w:rsidR="00F82980" w:rsidRPr="000B5D65">
        <w:rPr>
          <w:rFonts w:ascii="Times New Roman" w:hAnsi="Times New Roman"/>
          <w:sz w:val="24"/>
          <w:szCs w:val="24"/>
        </w:rPr>
        <w:t xml:space="preserve"> test</w:t>
      </w:r>
      <w:r w:rsidR="0074013C" w:rsidRPr="000B5D65">
        <w:rPr>
          <w:rFonts w:ascii="Times New Roman" w:hAnsi="Times New Roman"/>
          <w:sz w:val="24"/>
          <w:szCs w:val="24"/>
        </w:rPr>
        <w:t xml:space="preserve"> items than students</w:t>
      </w:r>
      <w:r w:rsidR="008C31DF" w:rsidRPr="000B5D65">
        <w:rPr>
          <w:rFonts w:ascii="Times New Roman" w:hAnsi="Times New Roman"/>
          <w:sz w:val="24"/>
          <w:szCs w:val="24"/>
        </w:rPr>
        <w:t xml:space="preserve"> receiving the lecture about</w:t>
      </w:r>
      <w:r w:rsidR="0074013C" w:rsidRPr="000B5D65">
        <w:rPr>
          <w:rFonts w:ascii="Times New Roman" w:hAnsi="Times New Roman"/>
          <w:sz w:val="24"/>
          <w:szCs w:val="24"/>
        </w:rPr>
        <w:t xml:space="preserve"> chemical weapons</w:t>
      </w:r>
      <w:r w:rsidR="003F7F75" w:rsidRPr="000B5D65">
        <w:rPr>
          <w:rFonts w:ascii="Times New Roman" w:hAnsi="Times New Roman"/>
          <w:sz w:val="24"/>
          <w:szCs w:val="24"/>
        </w:rPr>
        <w:t>,</w:t>
      </w:r>
      <w:r w:rsidR="003B23E7" w:rsidRPr="000B5D65">
        <w:rPr>
          <w:rFonts w:ascii="Times New Roman" w:hAnsi="Times New Roman"/>
          <w:sz w:val="24"/>
          <w:szCs w:val="24"/>
        </w:rPr>
        <w:t xml:space="preserve"> representing </w:t>
      </w:r>
      <w:r w:rsidR="0074013C" w:rsidRPr="000B5D65">
        <w:rPr>
          <w:rFonts w:ascii="Times New Roman" w:hAnsi="Times New Roman"/>
          <w:sz w:val="24"/>
          <w:szCs w:val="24"/>
        </w:rPr>
        <w:t xml:space="preserve">a </w:t>
      </w:r>
      <w:r w:rsidR="0074013C" w:rsidRPr="000B5D65">
        <w:rPr>
          <w:rFonts w:ascii="Times New Roman" w:hAnsi="Times New Roman"/>
          <w:sz w:val="24"/>
          <w:szCs w:val="24"/>
        </w:rPr>
        <w:lastRenderedPageBreak/>
        <w:t>very large effect.</w:t>
      </w:r>
      <w:r w:rsidR="00FA070D" w:rsidRPr="000B5D65">
        <w:rPr>
          <w:rFonts w:ascii="Times New Roman" w:hAnsi="Times New Roman"/>
          <w:sz w:val="24"/>
          <w:szCs w:val="24"/>
        </w:rPr>
        <w:t xml:space="preserve"> The comparisons among the subgroups also yielded significant differences between the experimental and control students in each subgroup, with the students participating in the routine earning significantly higher scores than those participating in the lecture. These differences represented large effect sizes </w:t>
      </w:r>
      <w:r w:rsidR="002F39C1">
        <w:rPr>
          <w:rFonts w:ascii="Times New Roman" w:hAnsi="Times New Roman"/>
          <w:sz w:val="24"/>
          <w:szCs w:val="24"/>
        </w:rPr>
        <w:t xml:space="preserve">for the </w:t>
      </w:r>
      <w:r w:rsidR="008532B3" w:rsidRPr="008532B3">
        <w:rPr>
          <w:rFonts w:ascii="Times New Roman" w:hAnsi="Times New Roman"/>
          <w:b/>
          <w:bCs/>
          <w:sz w:val="24"/>
          <w:szCs w:val="24"/>
        </w:rPr>
        <w:t>low achiever</w:t>
      </w:r>
      <w:r w:rsidR="002F39C1" w:rsidRPr="008532B3">
        <w:rPr>
          <w:rFonts w:ascii="Times New Roman" w:hAnsi="Times New Roman"/>
          <w:b/>
          <w:bCs/>
          <w:sz w:val="24"/>
          <w:szCs w:val="24"/>
        </w:rPr>
        <w:t xml:space="preserve">s, </w:t>
      </w:r>
      <w:r w:rsidR="008532B3" w:rsidRPr="008532B3">
        <w:rPr>
          <w:rFonts w:ascii="Times New Roman" w:hAnsi="Times New Roman"/>
          <w:b/>
          <w:bCs/>
          <w:sz w:val="24"/>
          <w:szCs w:val="24"/>
        </w:rPr>
        <w:t>average achiever</w:t>
      </w:r>
      <w:r w:rsidR="00F82980" w:rsidRPr="008532B3">
        <w:rPr>
          <w:rFonts w:ascii="Times New Roman" w:hAnsi="Times New Roman"/>
          <w:b/>
          <w:bCs/>
          <w:sz w:val="24"/>
          <w:szCs w:val="24"/>
        </w:rPr>
        <w:t>s, an</w:t>
      </w:r>
      <w:r w:rsidR="002F39C1" w:rsidRPr="008532B3">
        <w:rPr>
          <w:rFonts w:ascii="Times New Roman" w:hAnsi="Times New Roman"/>
          <w:b/>
          <w:bCs/>
          <w:sz w:val="24"/>
          <w:szCs w:val="24"/>
        </w:rPr>
        <w:t xml:space="preserve">d </w:t>
      </w:r>
      <w:r w:rsidR="008532B3" w:rsidRPr="008532B3">
        <w:rPr>
          <w:rFonts w:ascii="Times New Roman" w:hAnsi="Times New Roman"/>
          <w:b/>
          <w:bCs/>
          <w:sz w:val="24"/>
          <w:szCs w:val="24"/>
        </w:rPr>
        <w:t>high achievers</w:t>
      </w:r>
      <w:r w:rsidR="00F82980" w:rsidRPr="008532B3">
        <w:rPr>
          <w:rFonts w:ascii="Times New Roman" w:hAnsi="Times New Roman"/>
          <w:b/>
          <w:bCs/>
          <w:sz w:val="24"/>
          <w:szCs w:val="24"/>
        </w:rPr>
        <w:t>, whereas the difference for the students with disabilities</w:t>
      </w:r>
      <w:r w:rsidR="00F82980" w:rsidRPr="000B5D65">
        <w:rPr>
          <w:rFonts w:ascii="Times New Roman" w:hAnsi="Times New Roman"/>
          <w:sz w:val="24"/>
          <w:szCs w:val="24"/>
        </w:rPr>
        <w:t xml:space="preserve"> represented a medium effect size.</w:t>
      </w:r>
      <w:r w:rsidR="0074013C" w:rsidRPr="000B5D65">
        <w:rPr>
          <w:rFonts w:ascii="Times New Roman" w:hAnsi="Times New Roman"/>
          <w:sz w:val="24"/>
          <w:szCs w:val="24"/>
        </w:rPr>
        <w:t xml:space="preserve"> </w:t>
      </w:r>
    </w:p>
    <w:p w14:paraId="0BEDB5B8" w14:textId="18569C8A" w:rsidR="0074013C" w:rsidRPr="008532B3" w:rsidRDefault="0074013C" w:rsidP="00810D04">
      <w:pPr>
        <w:pStyle w:val="NormalWeb"/>
        <w:widowControl w:val="0"/>
        <w:spacing w:before="0" w:beforeAutospacing="0" w:after="0" w:afterAutospacing="0" w:line="480" w:lineRule="auto"/>
        <w:ind w:firstLine="720"/>
        <w:textAlignment w:val="baseline"/>
        <w:rPr>
          <w:rFonts w:ascii="Times New Roman" w:hAnsi="Times New Roman"/>
          <w:b/>
          <w:bCs/>
          <w:sz w:val="24"/>
          <w:szCs w:val="24"/>
        </w:rPr>
      </w:pPr>
      <w:r w:rsidRPr="000B5D65">
        <w:rPr>
          <w:rFonts w:ascii="Times New Roman" w:hAnsi="Times New Roman"/>
          <w:sz w:val="24"/>
          <w:szCs w:val="24"/>
        </w:rPr>
        <w:t xml:space="preserve">With regard to the percentage of students in the subgroups who earned “passing” scores (i.e., </w:t>
      </w:r>
      <w:r w:rsidR="003F7F75" w:rsidRPr="000B5D65">
        <w:rPr>
          <w:rFonts w:ascii="Times New Roman" w:hAnsi="Times New Roman"/>
          <w:sz w:val="24"/>
          <w:szCs w:val="24"/>
        </w:rPr>
        <w:t xml:space="preserve">a test score of </w:t>
      </w:r>
      <w:r w:rsidRPr="000B5D65">
        <w:rPr>
          <w:rFonts w:ascii="Times New Roman" w:hAnsi="Times New Roman"/>
          <w:sz w:val="24"/>
          <w:szCs w:val="24"/>
        </w:rPr>
        <w:t>60% or above)</w:t>
      </w:r>
      <w:r w:rsidR="009B449A" w:rsidRPr="000B5D65">
        <w:rPr>
          <w:rFonts w:ascii="Times New Roman" w:hAnsi="Times New Roman"/>
          <w:sz w:val="24"/>
          <w:szCs w:val="24"/>
        </w:rPr>
        <w:t xml:space="preserve"> </w:t>
      </w:r>
      <w:r w:rsidRPr="000B5D65">
        <w:rPr>
          <w:rFonts w:ascii="Times New Roman" w:hAnsi="Times New Roman"/>
          <w:sz w:val="24"/>
          <w:szCs w:val="24"/>
        </w:rPr>
        <w:t>for the test items associated with chemical weapons, mean percentage scores for the student</w:t>
      </w:r>
      <w:r w:rsidR="003F7F75" w:rsidRPr="000B5D65">
        <w:rPr>
          <w:rFonts w:ascii="Times New Roman" w:hAnsi="Times New Roman"/>
          <w:sz w:val="24"/>
          <w:szCs w:val="24"/>
        </w:rPr>
        <w:t xml:space="preserve">s participating in the </w:t>
      </w:r>
      <w:r w:rsidR="00944F61" w:rsidRPr="000B5D65">
        <w:rPr>
          <w:rFonts w:ascii="Times New Roman" w:hAnsi="Times New Roman"/>
          <w:sz w:val="24"/>
          <w:szCs w:val="24"/>
        </w:rPr>
        <w:t xml:space="preserve">QER versus the </w:t>
      </w:r>
      <w:r w:rsidR="003F7F75" w:rsidRPr="000B5D65">
        <w:rPr>
          <w:rFonts w:ascii="Times New Roman" w:hAnsi="Times New Roman"/>
          <w:sz w:val="24"/>
          <w:szCs w:val="24"/>
        </w:rPr>
        <w:t xml:space="preserve">lecture method </w:t>
      </w:r>
      <w:r w:rsidRPr="000B5D65">
        <w:rPr>
          <w:rFonts w:ascii="Times New Roman" w:hAnsi="Times New Roman"/>
          <w:sz w:val="24"/>
          <w:szCs w:val="24"/>
        </w:rPr>
        <w:t xml:space="preserve">were: </w:t>
      </w:r>
      <w:r w:rsidR="00944F61" w:rsidRPr="000B5D65">
        <w:rPr>
          <w:rFonts w:ascii="Times New Roman" w:hAnsi="Times New Roman"/>
          <w:sz w:val="24"/>
          <w:szCs w:val="24"/>
        </w:rPr>
        <w:t>7</w:t>
      </w:r>
      <w:r w:rsidR="003F7F75" w:rsidRPr="000B5D65">
        <w:rPr>
          <w:rFonts w:ascii="Times New Roman" w:hAnsi="Times New Roman"/>
          <w:sz w:val="24"/>
          <w:szCs w:val="24"/>
        </w:rPr>
        <w:t xml:space="preserve">7% vs. </w:t>
      </w:r>
      <w:r w:rsidR="00944F61" w:rsidRPr="000B5D65">
        <w:rPr>
          <w:rFonts w:ascii="Times New Roman" w:hAnsi="Times New Roman"/>
          <w:sz w:val="24"/>
          <w:szCs w:val="24"/>
        </w:rPr>
        <w:t>2</w:t>
      </w:r>
      <w:r w:rsidRPr="000B5D65">
        <w:rPr>
          <w:rFonts w:ascii="Times New Roman" w:hAnsi="Times New Roman"/>
          <w:sz w:val="24"/>
          <w:szCs w:val="24"/>
        </w:rPr>
        <w:t xml:space="preserve">7% for the </w:t>
      </w:r>
      <w:r w:rsidR="008532B3" w:rsidRPr="008532B3">
        <w:rPr>
          <w:rFonts w:ascii="Times New Roman" w:hAnsi="Times New Roman"/>
          <w:b/>
          <w:bCs/>
          <w:sz w:val="24"/>
          <w:szCs w:val="24"/>
        </w:rPr>
        <w:t>students with disabilitie</w:t>
      </w:r>
      <w:r w:rsidRPr="008532B3">
        <w:rPr>
          <w:rFonts w:ascii="Times New Roman" w:hAnsi="Times New Roman"/>
          <w:b/>
          <w:bCs/>
          <w:sz w:val="24"/>
          <w:szCs w:val="24"/>
        </w:rPr>
        <w:t xml:space="preserve">s, respectively; </w:t>
      </w:r>
      <w:r w:rsidR="00944F61" w:rsidRPr="008532B3">
        <w:rPr>
          <w:rFonts w:ascii="Times New Roman" w:hAnsi="Times New Roman"/>
          <w:b/>
          <w:bCs/>
          <w:sz w:val="24"/>
          <w:szCs w:val="24"/>
        </w:rPr>
        <w:t>86% vs. 50%</w:t>
      </w:r>
      <w:r w:rsidRPr="008532B3">
        <w:rPr>
          <w:rFonts w:ascii="Times New Roman" w:hAnsi="Times New Roman"/>
          <w:b/>
          <w:bCs/>
          <w:sz w:val="24"/>
          <w:szCs w:val="24"/>
        </w:rPr>
        <w:t xml:space="preserve"> for the </w:t>
      </w:r>
      <w:r w:rsidR="008532B3" w:rsidRPr="008532B3">
        <w:rPr>
          <w:rFonts w:ascii="Times New Roman" w:hAnsi="Times New Roman"/>
          <w:b/>
          <w:bCs/>
          <w:sz w:val="24"/>
          <w:szCs w:val="24"/>
        </w:rPr>
        <w:t>low achiever</w:t>
      </w:r>
      <w:r w:rsidR="003F7F75" w:rsidRPr="008532B3">
        <w:rPr>
          <w:rFonts w:ascii="Times New Roman" w:hAnsi="Times New Roman"/>
          <w:b/>
          <w:bCs/>
          <w:sz w:val="24"/>
          <w:szCs w:val="24"/>
        </w:rPr>
        <w:t>s</w:t>
      </w:r>
      <w:r w:rsidRPr="008532B3">
        <w:rPr>
          <w:rFonts w:ascii="Times New Roman" w:hAnsi="Times New Roman"/>
          <w:b/>
          <w:bCs/>
          <w:sz w:val="24"/>
          <w:szCs w:val="24"/>
        </w:rPr>
        <w:t xml:space="preserve">, respectively; </w:t>
      </w:r>
      <w:r w:rsidR="00944F61" w:rsidRPr="008532B3">
        <w:rPr>
          <w:rFonts w:ascii="Times New Roman" w:hAnsi="Times New Roman"/>
          <w:b/>
          <w:bCs/>
          <w:sz w:val="24"/>
          <w:szCs w:val="24"/>
        </w:rPr>
        <w:t>93% vs. 71</w:t>
      </w:r>
      <w:r w:rsidR="002F39C1" w:rsidRPr="008532B3">
        <w:rPr>
          <w:rFonts w:ascii="Times New Roman" w:hAnsi="Times New Roman"/>
          <w:b/>
          <w:bCs/>
          <w:sz w:val="24"/>
          <w:szCs w:val="24"/>
        </w:rPr>
        <w:t xml:space="preserve">% for the </w:t>
      </w:r>
      <w:r w:rsidR="008532B3" w:rsidRPr="008532B3">
        <w:rPr>
          <w:rFonts w:ascii="Times New Roman" w:hAnsi="Times New Roman"/>
          <w:b/>
          <w:bCs/>
          <w:sz w:val="24"/>
          <w:szCs w:val="24"/>
        </w:rPr>
        <w:t>average achiever</w:t>
      </w:r>
      <w:r w:rsidR="003F7F75" w:rsidRPr="008532B3">
        <w:rPr>
          <w:rFonts w:ascii="Times New Roman" w:hAnsi="Times New Roman"/>
          <w:b/>
          <w:bCs/>
          <w:sz w:val="24"/>
          <w:szCs w:val="24"/>
        </w:rPr>
        <w:t>s</w:t>
      </w:r>
      <w:r w:rsidRPr="008532B3">
        <w:rPr>
          <w:rFonts w:ascii="Times New Roman" w:hAnsi="Times New Roman"/>
          <w:b/>
          <w:bCs/>
          <w:sz w:val="24"/>
          <w:szCs w:val="24"/>
        </w:rPr>
        <w:t>, respectivel</w:t>
      </w:r>
      <w:r w:rsidR="003F7F75" w:rsidRPr="008532B3">
        <w:rPr>
          <w:rFonts w:ascii="Times New Roman" w:hAnsi="Times New Roman"/>
          <w:b/>
          <w:bCs/>
          <w:sz w:val="24"/>
          <w:szCs w:val="24"/>
        </w:rPr>
        <w:t xml:space="preserve">y; and </w:t>
      </w:r>
      <w:r w:rsidR="002F39C1" w:rsidRPr="008532B3">
        <w:rPr>
          <w:rFonts w:ascii="Times New Roman" w:hAnsi="Times New Roman"/>
          <w:b/>
          <w:bCs/>
          <w:sz w:val="24"/>
          <w:szCs w:val="24"/>
        </w:rPr>
        <w:t xml:space="preserve">100% and 100% for the </w:t>
      </w:r>
      <w:r w:rsidR="008532B3" w:rsidRPr="008532B3">
        <w:rPr>
          <w:rFonts w:ascii="Times New Roman" w:hAnsi="Times New Roman"/>
          <w:b/>
          <w:bCs/>
          <w:sz w:val="24"/>
          <w:szCs w:val="24"/>
        </w:rPr>
        <w:t>high achiever</w:t>
      </w:r>
      <w:r w:rsidR="003F7F75" w:rsidRPr="008532B3">
        <w:rPr>
          <w:rFonts w:ascii="Times New Roman" w:hAnsi="Times New Roman"/>
          <w:b/>
          <w:bCs/>
          <w:sz w:val="24"/>
          <w:szCs w:val="24"/>
        </w:rPr>
        <w:t>s</w:t>
      </w:r>
      <w:r w:rsidRPr="008532B3">
        <w:rPr>
          <w:rFonts w:ascii="Times New Roman" w:hAnsi="Times New Roman"/>
          <w:b/>
          <w:bCs/>
          <w:sz w:val="24"/>
          <w:szCs w:val="24"/>
        </w:rPr>
        <w:t>, respectively.</w:t>
      </w:r>
      <w:r w:rsidR="009D61B1" w:rsidRPr="008532B3">
        <w:rPr>
          <w:rFonts w:ascii="Times New Roman" w:hAnsi="Times New Roman"/>
          <w:b/>
          <w:bCs/>
          <w:sz w:val="24"/>
          <w:szCs w:val="24"/>
        </w:rPr>
        <w:t xml:space="preserve"> </w:t>
      </w:r>
    </w:p>
    <w:p w14:paraId="7C92A082" w14:textId="4B60B248" w:rsidR="00043361" w:rsidRPr="000B5D65" w:rsidRDefault="0074013C" w:rsidP="00810D04">
      <w:pPr>
        <w:pStyle w:val="NormalWeb"/>
        <w:widowControl w:val="0"/>
        <w:spacing w:before="0" w:beforeAutospacing="0" w:after="0" w:afterAutospacing="0" w:line="480" w:lineRule="auto"/>
        <w:ind w:firstLine="720"/>
        <w:textAlignment w:val="baseline"/>
        <w:rPr>
          <w:rFonts w:ascii="Times New Roman" w:hAnsi="Times New Roman"/>
          <w:sz w:val="24"/>
          <w:szCs w:val="24"/>
        </w:rPr>
      </w:pPr>
      <w:r w:rsidRPr="000B5D65">
        <w:rPr>
          <w:rFonts w:ascii="Times New Roman" w:hAnsi="Times New Roman"/>
          <w:sz w:val="24"/>
          <w:szCs w:val="24"/>
        </w:rPr>
        <w:t>On</w:t>
      </w:r>
      <w:r w:rsidR="009B449A" w:rsidRPr="000B5D65">
        <w:rPr>
          <w:rFonts w:ascii="Times New Roman" w:hAnsi="Times New Roman"/>
          <w:sz w:val="24"/>
          <w:szCs w:val="24"/>
        </w:rPr>
        <w:t xml:space="preserve"> the</w:t>
      </w:r>
      <w:r w:rsidRPr="000B5D65">
        <w:rPr>
          <w:rFonts w:ascii="Times New Roman" w:hAnsi="Times New Roman"/>
          <w:sz w:val="24"/>
          <w:szCs w:val="24"/>
        </w:rPr>
        <w:t xml:space="preserve"> </w:t>
      </w:r>
      <w:r w:rsidR="009B449A" w:rsidRPr="000B5D65">
        <w:rPr>
          <w:rFonts w:ascii="Times New Roman" w:hAnsi="Times New Roman"/>
          <w:sz w:val="24"/>
          <w:szCs w:val="24"/>
        </w:rPr>
        <w:t xml:space="preserve">test </w:t>
      </w:r>
      <w:r w:rsidRPr="000B5D65">
        <w:rPr>
          <w:rFonts w:ascii="Times New Roman" w:hAnsi="Times New Roman"/>
          <w:sz w:val="24"/>
          <w:szCs w:val="24"/>
        </w:rPr>
        <w:t xml:space="preserve">items related to biological weapons, </w:t>
      </w:r>
      <w:r w:rsidR="00F82980" w:rsidRPr="000B5D65">
        <w:rPr>
          <w:rFonts w:ascii="Times New Roman" w:hAnsi="Times New Roman"/>
          <w:sz w:val="24"/>
          <w:szCs w:val="24"/>
        </w:rPr>
        <w:t xml:space="preserve">the whole group of </w:t>
      </w:r>
      <w:r w:rsidRPr="000B5D65">
        <w:rPr>
          <w:rFonts w:ascii="Times New Roman" w:hAnsi="Times New Roman"/>
          <w:sz w:val="24"/>
          <w:szCs w:val="24"/>
        </w:rPr>
        <w:t xml:space="preserve">students who participated in the QER instruction during the biological weapons portion of the lesson earned significantly higher scores overall than students who participated in the lecture </w:t>
      </w:r>
      <w:r w:rsidR="003B23E7" w:rsidRPr="000B5D65">
        <w:rPr>
          <w:rFonts w:ascii="Times New Roman" w:hAnsi="Times New Roman"/>
          <w:sz w:val="24"/>
          <w:szCs w:val="24"/>
        </w:rPr>
        <w:t>about biological weapons</w:t>
      </w:r>
      <w:r w:rsidRPr="000B5D65">
        <w:rPr>
          <w:rFonts w:ascii="Times New Roman" w:hAnsi="Times New Roman"/>
          <w:sz w:val="24"/>
          <w:szCs w:val="24"/>
        </w:rPr>
        <w:t xml:space="preserve">. </w:t>
      </w:r>
      <w:r w:rsidR="00CB2F42" w:rsidRPr="000B5D65">
        <w:rPr>
          <w:rFonts w:ascii="Times New Roman" w:hAnsi="Times New Roman"/>
          <w:sz w:val="24"/>
          <w:szCs w:val="24"/>
        </w:rPr>
        <w:t xml:space="preserve">The </w:t>
      </w:r>
      <w:r w:rsidR="008532B3" w:rsidRPr="008532B3">
        <w:rPr>
          <w:rFonts w:ascii="Times New Roman" w:hAnsi="Times New Roman"/>
          <w:b/>
          <w:bCs/>
          <w:sz w:val="24"/>
          <w:szCs w:val="24"/>
        </w:rPr>
        <w:t>average achievers</w:t>
      </w:r>
      <w:r w:rsidR="00CB2F42" w:rsidRPr="008532B3">
        <w:rPr>
          <w:rFonts w:ascii="Times New Roman" w:hAnsi="Times New Roman"/>
          <w:b/>
          <w:bCs/>
          <w:sz w:val="24"/>
          <w:szCs w:val="24"/>
        </w:rPr>
        <w:t xml:space="preserve">, </w:t>
      </w:r>
      <w:r w:rsidR="008532B3" w:rsidRPr="008532B3">
        <w:rPr>
          <w:rFonts w:ascii="Times New Roman" w:hAnsi="Times New Roman"/>
          <w:b/>
          <w:bCs/>
          <w:sz w:val="24"/>
          <w:szCs w:val="24"/>
        </w:rPr>
        <w:t>high achievers</w:t>
      </w:r>
      <w:r w:rsidR="00F82980" w:rsidRPr="008532B3">
        <w:rPr>
          <w:rFonts w:ascii="Times New Roman" w:hAnsi="Times New Roman"/>
          <w:b/>
          <w:bCs/>
          <w:sz w:val="24"/>
          <w:szCs w:val="24"/>
        </w:rPr>
        <w:t>,</w:t>
      </w:r>
      <w:r w:rsidR="00CB2F42" w:rsidRPr="008532B3">
        <w:rPr>
          <w:rFonts w:ascii="Times New Roman" w:hAnsi="Times New Roman"/>
          <w:b/>
          <w:bCs/>
          <w:sz w:val="24"/>
          <w:szCs w:val="24"/>
        </w:rPr>
        <w:t xml:space="preserve"> and</w:t>
      </w:r>
      <w:r w:rsidR="008532B3" w:rsidRPr="008532B3">
        <w:rPr>
          <w:rFonts w:ascii="Times New Roman" w:hAnsi="Times New Roman"/>
          <w:b/>
          <w:bCs/>
          <w:sz w:val="24"/>
          <w:szCs w:val="24"/>
        </w:rPr>
        <w:t xml:space="preserve"> students with disabilities</w:t>
      </w:r>
      <w:r w:rsidR="00CB2F42" w:rsidRPr="000B5D65">
        <w:rPr>
          <w:rFonts w:ascii="Times New Roman" w:hAnsi="Times New Roman"/>
          <w:sz w:val="24"/>
          <w:szCs w:val="24"/>
        </w:rPr>
        <w:t xml:space="preserve"> subgroups mirrored this pattern with the students </w:t>
      </w:r>
      <w:r w:rsidR="00117365" w:rsidRPr="000B5D65">
        <w:rPr>
          <w:rFonts w:ascii="Times New Roman" w:hAnsi="Times New Roman"/>
          <w:sz w:val="24"/>
          <w:szCs w:val="24"/>
        </w:rPr>
        <w:t>who participated</w:t>
      </w:r>
      <w:r w:rsidR="00CB2F42" w:rsidRPr="000B5D65">
        <w:rPr>
          <w:rFonts w:ascii="Times New Roman" w:hAnsi="Times New Roman"/>
          <w:sz w:val="24"/>
          <w:szCs w:val="24"/>
        </w:rPr>
        <w:t xml:space="preserve"> in the QER earning significantly higher scores than the students who participated in the lecture</w:t>
      </w:r>
      <w:r w:rsidR="00117365" w:rsidRPr="000B5D65">
        <w:rPr>
          <w:rFonts w:ascii="Times New Roman" w:hAnsi="Times New Roman"/>
          <w:sz w:val="24"/>
          <w:szCs w:val="24"/>
        </w:rPr>
        <w:t xml:space="preserve"> in each case</w:t>
      </w:r>
      <w:r w:rsidR="00CB2F42" w:rsidRPr="000B5D65">
        <w:rPr>
          <w:rFonts w:ascii="Times New Roman" w:hAnsi="Times New Roman"/>
          <w:sz w:val="24"/>
          <w:szCs w:val="24"/>
        </w:rPr>
        <w:t xml:space="preserve">. </w:t>
      </w:r>
      <w:r w:rsidR="00117365" w:rsidRPr="000B5D65">
        <w:rPr>
          <w:rFonts w:ascii="Times New Roman" w:hAnsi="Times New Roman"/>
          <w:sz w:val="24"/>
          <w:szCs w:val="24"/>
        </w:rPr>
        <w:t>All of the effect sizes were large.</w:t>
      </w:r>
      <w:r w:rsidR="003D5613" w:rsidRPr="000B5D65">
        <w:rPr>
          <w:rFonts w:ascii="Times New Roman" w:hAnsi="Times New Roman"/>
          <w:sz w:val="24"/>
          <w:szCs w:val="24"/>
        </w:rPr>
        <w:t xml:space="preserve"> A</w:t>
      </w:r>
      <w:r w:rsidR="00117365" w:rsidRPr="000B5D65">
        <w:rPr>
          <w:rFonts w:ascii="Times New Roman" w:hAnsi="Times New Roman"/>
          <w:sz w:val="24"/>
          <w:szCs w:val="24"/>
        </w:rPr>
        <w:t xml:space="preserve"> </w:t>
      </w:r>
      <w:r w:rsidR="008430F4" w:rsidRPr="000B5D65">
        <w:rPr>
          <w:rFonts w:ascii="Times New Roman" w:hAnsi="Times New Roman"/>
          <w:sz w:val="24"/>
          <w:szCs w:val="24"/>
        </w:rPr>
        <w:t xml:space="preserve">significant </w:t>
      </w:r>
      <w:r w:rsidR="00117365" w:rsidRPr="000B5D65">
        <w:rPr>
          <w:rFonts w:ascii="Times New Roman" w:hAnsi="Times New Roman"/>
          <w:sz w:val="24"/>
          <w:szCs w:val="24"/>
        </w:rPr>
        <w:t>difference</w:t>
      </w:r>
      <w:r w:rsidR="00D83383" w:rsidRPr="000B5D65">
        <w:rPr>
          <w:rFonts w:ascii="Times New Roman" w:hAnsi="Times New Roman"/>
          <w:sz w:val="24"/>
          <w:szCs w:val="24"/>
        </w:rPr>
        <w:t xml:space="preserve"> was</w:t>
      </w:r>
      <w:r w:rsidR="003D5613" w:rsidRPr="000B5D65">
        <w:rPr>
          <w:rFonts w:ascii="Times New Roman" w:hAnsi="Times New Roman"/>
          <w:sz w:val="24"/>
          <w:szCs w:val="24"/>
        </w:rPr>
        <w:t xml:space="preserve"> not</w:t>
      </w:r>
      <w:r w:rsidR="00D83383" w:rsidRPr="000B5D65">
        <w:rPr>
          <w:rFonts w:ascii="Times New Roman" w:hAnsi="Times New Roman"/>
          <w:sz w:val="24"/>
          <w:szCs w:val="24"/>
        </w:rPr>
        <w:t xml:space="preserve"> found</w:t>
      </w:r>
      <w:r w:rsidR="00117365" w:rsidRPr="000B5D65">
        <w:rPr>
          <w:rFonts w:ascii="Times New Roman" w:hAnsi="Times New Roman"/>
          <w:sz w:val="24"/>
          <w:szCs w:val="24"/>
        </w:rPr>
        <w:t xml:space="preserve"> between the LA subgroups. </w:t>
      </w:r>
    </w:p>
    <w:p w14:paraId="396104FF" w14:textId="4E94ED6E" w:rsidR="0074013C" w:rsidRPr="000B5D65" w:rsidRDefault="0074013C" w:rsidP="00810D04">
      <w:pPr>
        <w:pStyle w:val="NormalWeb"/>
        <w:widowControl w:val="0"/>
        <w:spacing w:before="0" w:beforeAutospacing="0" w:after="0" w:afterAutospacing="0" w:line="480" w:lineRule="auto"/>
        <w:ind w:firstLine="720"/>
        <w:textAlignment w:val="baseline"/>
        <w:rPr>
          <w:rFonts w:ascii="Times New Roman" w:hAnsi="Times New Roman"/>
          <w:sz w:val="24"/>
          <w:szCs w:val="24"/>
        </w:rPr>
      </w:pPr>
      <w:r w:rsidRPr="000B5D65">
        <w:rPr>
          <w:rFonts w:ascii="Times New Roman" w:hAnsi="Times New Roman"/>
          <w:sz w:val="24"/>
          <w:szCs w:val="24"/>
        </w:rPr>
        <w:t>The subgroups of students earning mean percentage scores at or above the “passing” level on the items associated with bi</w:t>
      </w:r>
      <w:r w:rsidR="009B449A" w:rsidRPr="000B5D65">
        <w:rPr>
          <w:rFonts w:ascii="Times New Roman" w:hAnsi="Times New Roman"/>
          <w:sz w:val="24"/>
          <w:szCs w:val="24"/>
        </w:rPr>
        <w:t>ological weapons for the QER versus</w:t>
      </w:r>
      <w:r w:rsidRPr="000B5D65">
        <w:rPr>
          <w:rFonts w:ascii="Times New Roman" w:hAnsi="Times New Roman"/>
          <w:sz w:val="24"/>
          <w:szCs w:val="24"/>
        </w:rPr>
        <w:t xml:space="preserve"> lect</w:t>
      </w:r>
      <w:r w:rsidR="003F7F75" w:rsidRPr="000B5D65">
        <w:rPr>
          <w:rFonts w:ascii="Times New Roman" w:hAnsi="Times New Roman"/>
          <w:sz w:val="24"/>
          <w:szCs w:val="24"/>
        </w:rPr>
        <w:t xml:space="preserve">ure treatments were: </w:t>
      </w:r>
      <w:r w:rsidR="00944F61" w:rsidRPr="000B5D65">
        <w:rPr>
          <w:rFonts w:ascii="Times New Roman" w:hAnsi="Times New Roman"/>
          <w:sz w:val="24"/>
          <w:szCs w:val="24"/>
        </w:rPr>
        <w:t xml:space="preserve">for the </w:t>
      </w:r>
      <w:r w:rsidR="001E5E0B" w:rsidRPr="001E5E0B">
        <w:rPr>
          <w:rFonts w:ascii="Times New Roman" w:hAnsi="Times New Roman"/>
          <w:b/>
          <w:bCs/>
          <w:sz w:val="24"/>
          <w:szCs w:val="24"/>
        </w:rPr>
        <w:t>students with disabilitie</w:t>
      </w:r>
      <w:r w:rsidR="00944F61" w:rsidRPr="001E5E0B">
        <w:rPr>
          <w:rFonts w:ascii="Times New Roman" w:hAnsi="Times New Roman"/>
          <w:b/>
          <w:bCs/>
          <w:sz w:val="24"/>
          <w:szCs w:val="24"/>
        </w:rPr>
        <w:t xml:space="preserve">s, 36% and 12%, </w:t>
      </w:r>
      <w:r w:rsidR="0017736B" w:rsidRPr="001E5E0B">
        <w:rPr>
          <w:rFonts w:ascii="Times New Roman" w:hAnsi="Times New Roman"/>
          <w:b/>
          <w:bCs/>
          <w:sz w:val="24"/>
          <w:szCs w:val="24"/>
        </w:rPr>
        <w:t xml:space="preserve">respectively; for the </w:t>
      </w:r>
      <w:r w:rsidR="001E5E0B" w:rsidRPr="001E5E0B">
        <w:rPr>
          <w:rFonts w:ascii="Times New Roman" w:hAnsi="Times New Roman"/>
          <w:b/>
          <w:bCs/>
          <w:sz w:val="24"/>
          <w:szCs w:val="24"/>
        </w:rPr>
        <w:t>low achiever</w:t>
      </w:r>
      <w:r w:rsidR="00944F61" w:rsidRPr="001E5E0B">
        <w:rPr>
          <w:rFonts w:ascii="Times New Roman" w:hAnsi="Times New Roman"/>
          <w:b/>
          <w:bCs/>
          <w:sz w:val="24"/>
          <w:szCs w:val="24"/>
        </w:rPr>
        <w:t xml:space="preserve">s, 75% and 29%, </w:t>
      </w:r>
      <w:r w:rsidR="0017736B" w:rsidRPr="001E5E0B">
        <w:rPr>
          <w:rFonts w:ascii="Times New Roman" w:hAnsi="Times New Roman"/>
          <w:b/>
          <w:bCs/>
          <w:sz w:val="24"/>
          <w:szCs w:val="24"/>
        </w:rPr>
        <w:t xml:space="preserve">respectively; for the </w:t>
      </w:r>
      <w:r w:rsidR="001E5E0B" w:rsidRPr="001E5E0B">
        <w:rPr>
          <w:rFonts w:ascii="Times New Roman" w:hAnsi="Times New Roman"/>
          <w:b/>
          <w:bCs/>
          <w:sz w:val="24"/>
          <w:szCs w:val="24"/>
        </w:rPr>
        <w:t>average achiever</w:t>
      </w:r>
      <w:r w:rsidR="00944F61" w:rsidRPr="001E5E0B">
        <w:rPr>
          <w:rFonts w:ascii="Times New Roman" w:hAnsi="Times New Roman"/>
          <w:b/>
          <w:bCs/>
          <w:sz w:val="24"/>
          <w:szCs w:val="24"/>
        </w:rPr>
        <w:t xml:space="preserve">s, 93% and 54%, respectively; and </w:t>
      </w:r>
      <w:r w:rsidR="0017736B" w:rsidRPr="001E5E0B">
        <w:rPr>
          <w:rFonts w:ascii="Times New Roman" w:hAnsi="Times New Roman"/>
          <w:b/>
          <w:bCs/>
          <w:sz w:val="24"/>
          <w:szCs w:val="24"/>
        </w:rPr>
        <w:t xml:space="preserve">for the </w:t>
      </w:r>
      <w:r w:rsidR="001E5E0B" w:rsidRPr="001E5E0B">
        <w:rPr>
          <w:rFonts w:ascii="Times New Roman" w:hAnsi="Times New Roman"/>
          <w:b/>
          <w:bCs/>
          <w:sz w:val="24"/>
          <w:szCs w:val="24"/>
        </w:rPr>
        <w:t>high achiever</w:t>
      </w:r>
      <w:r w:rsidR="003F7F75" w:rsidRPr="001E5E0B">
        <w:rPr>
          <w:rFonts w:ascii="Times New Roman" w:hAnsi="Times New Roman"/>
          <w:b/>
          <w:bCs/>
          <w:sz w:val="24"/>
          <w:szCs w:val="24"/>
        </w:rPr>
        <w:t>s</w:t>
      </w:r>
      <w:r w:rsidRPr="001E5E0B">
        <w:rPr>
          <w:rFonts w:ascii="Times New Roman" w:hAnsi="Times New Roman"/>
          <w:b/>
          <w:bCs/>
          <w:sz w:val="24"/>
          <w:szCs w:val="24"/>
        </w:rPr>
        <w:t xml:space="preserve">, 100% </w:t>
      </w:r>
      <w:r w:rsidR="00944F61" w:rsidRPr="001E5E0B">
        <w:rPr>
          <w:rFonts w:ascii="Times New Roman" w:hAnsi="Times New Roman"/>
          <w:b/>
          <w:bCs/>
          <w:sz w:val="24"/>
          <w:szCs w:val="24"/>
        </w:rPr>
        <w:t>and 83%, respectively</w:t>
      </w:r>
      <w:r w:rsidRPr="000B5D65">
        <w:rPr>
          <w:rFonts w:ascii="Times New Roman" w:hAnsi="Times New Roman"/>
          <w:sz w:val="24"/>
          <w:szCs w:val="24"/>
        </w:rPr>
        <w:t>.</w:t>
      </w:r>
    </w:p>
    <w:p w14:paraId="5DD53FF7" w14:textId="5903CA3C" w:rsidR="00343D10" w:rsidRPr="000B5D65" w:rsidRDefault="00343D10" w:rsidP="00810D04">
      <w:pPr>
        <w:widowControl w:val="0"/>
        <w:spacing w:line="480" w:lineRule="auto"/>
        <w:jc w:val="center"/>
        <w:rPr>
          <w:b/>
        </w:rPr>
      </w:pPr>
      <w:r w:rsidRPr="000B5D65">
        <w:rPr>
          <w:b/>
        </w:rPr>
        <w:lastRenderedPageBreak/>
        <w:t>Discussion</w:t>
      </w:r>
    </w:p>
    <w:p w14:paraId="53BA8FA5" w14:textId="7258BE56" w:rsidR="00417B1B" w:rsidRPr="000B5D65" w:rsidRDefault="00663620" w:rsidP="00810D04">
      <w:pPr>
        <w:widowControl w:val="0"/>
        <w:spacing w:line="480" w:lineRule="auto"/>
        <w:ind w:firstLine="720"/>
      </w:pPr>
      <w:r w:rsidRPr="000B5D65">
        <w:t xml:space="preserve">In sum, the </w:t>
      </w:r>
      <w:r w:rsidR="009B449A" w:rsidRPr="000B5D65">
        <w:t xml:space="preserve">original </w:t>
      </w:r>
      <w:r w:rsidRPr="000B5D65">
        <w:t>development</w:t>
      </w:r>
      <w:r w:rsidR="009B449A" w:rsidRPr="000B5D65">
        <w:t xml:space="preserve"> and validation</w:t>
      </w:r>
      <w:r w:rsidRPr="000B5D65">
        <w:t xml:space="preserve"> work on the four Content Enhancement Routines featured above has shown that when a routine is used, students learn and retain more information than when the lecture method is used. Further, </w:t>
      </w:r>
      <w:r w:rsidR="00680A06" w:rsidRPr="000B5D65">
        <w:t>with a few exceptions, this research shows that</w:t>
      </w:r>
      <w:r w:rsidRPr="000B5D65">
        <w:t xml:space="preserve"> enhanced learning is experienced by all</w:t>
      </w:r>
      <w:r w:rsidR="009B449A" w:rsidRPr="000B5D65">
        <w:t xml:space="preserve"> subgroups of student in inclusive</w:t>
      </w:r>
      <w:r w:rsidRPr="000B5D65">
        <w:t xml:space="preserve"> class</w:t>
      </w:r>
      <w:r w:rsidR="0018706C" w:rsidRPr="000B5D65">
        <w:t>es</w:t>
      </w:r>
      <w:r w:rsidR="00ED2AC0" w:rsidRPr="000B5D65">
        <w:t xml:space="preserve"> who participate in a Content Enhancement Routine</w:t>
      </w:r>
      <w:r w:rsidR="0018706C" w:rsidRPr="000B5D65">
        <w:t xml:space="preserve">. </w:t>
      </w:r>
      <w:r w:rsidR="003971E9" w:rsidRPr="000B5D65">
        <w:t>Once</w:t>
      </w:r>
      <w:r w:rsidR="00343D10" w:rsidRPr="000B5D65">
        <w:t>, high-</w:t>
      </w:r>
      <w:r w:rsidR="00680A06" w:rsidRPr="000B5D65">
        <w:t>a</w:t>
      </w:r>
      <w:r w:rsidR="00343D10" w:rsidRPr="000B5D65">
        <w:t xml:space="preserve">chieving students </w:t>
      </w:r>
      <w:r w:rsidR="003971E9" w:rsidRPr="000B5D65">
        <w:t>earned</w:t>
      </w:r>
      <w:r w:rsidR="00680A06" w:rsidRPr="000B5D65">
        <w:t xml:space="preserve"> high</w:t>
      </w:r>
      <w:r w:rsidR="003971E9" w:rsidRPr="000B5D65">
        <w:t xml:space="preserve"> test scores</w:t>
      </w:r>
      <w:r w:rsidR="00680A06" w:rsidRPr="000B5D65">
        <w:t xml:space="preserve"> in both sets of conditions</w:t>
      </w:r>
      <w:r w:rsidR="003971E9" w:rsidRPr="000B5D65">
        <w:t xml:space="preserve"> (s</w:t>
      </w:r>
      <w:r w:rsidR="00417B1B" w:rsidRPr="000B5D65">
        <w:t xml:space="preserve">ee </w:t>
      </w:r>
      <w:proofErr w:type="spellStart"/>
      <w:r w:rsidR="00417B1B" w:rsidRPr="000B5D65">
        <w:t>Bulgren</w:t>
      </w:r>
      <w:proofErr w:type="spellEnd"/>
      <w:r w:rsidR="00417B1B" w:rsidRPr="000B5D65">
        <w:t xml:space="preserve"> et al.</w:t>
      </w:r>
      <w:r w:rsidR="00F716AA">
        <w:t>,</w:t>
      </w:r>
      <w:r w:rsidR="00417B1B" w:rsidRPr="000B5D65">
        <w:t xml:space="preserve"> 2002)</w:t>
      </w:r>
      <w:r w:rsidR="003971E9" w:rsidRPr="000B5D65">
        <w:t>, possibly because they had</w:t>
      </w:r>
      <w:r w:rsidR="00680A06" w:rsidRPr="000B5D65">
        <w:t xml:space="preserve"> some background knowledge about the topics. </w:t>
      </w:r>
      <w:r w:rsidR="003971E9" w:rsidRPr="000B5D65">
        <w:t xml:space="preserve">In another case, the low-achieving students in both conditions earned similar mean posttest scores (see </w:t>
      </w:r>
      <w:proofErr w:type="spellStart"/>
      <w:r w:rsidR="003971E9" w:rsidRPr="000B5D65">
        <w:t>Bulgren</w:t>
      </w:r>
      <w:proofErr w:type="spellEnd"/>
      <w:r w:rsidR="003971E9" w:rsidRPr="000B5D65">
        <w:t xml:space="preserve"> et al., 2011). In all other cases, the subgroup that participated in the routine earned a higher mean test score than the subgroup that received the lecture condition. Importantly, the students with disabilities subgroup that participated in the routine earned a mean test score that was significantly different from their paired subgroup, representing either a medium or large effect size in each case. </w:t>
      </w:r>
    </w:p>
    <w:p w14:paraId="213CC6EF" w14:textId="4B5013BF" w:rsidR="00E16132" w:rsidRPr="000B5D65" w:rsidRDefault="00680A06" w:rsidP="00810D04">
      <w:pPr>
        <w:widowControl w:val="0"/>
        <w:spacing w:line="480" w:lineRule="auto"/>
        <w:ind w:firstLine="720"/>
      </w:pPr>
      <w:r w:rsidRPr="000B5D65">
        <w:t>Interestingly, in many cases, the</w:t>
      </w:r>
      <w:r w:rsidR="00663620" w:rsidRPr="000B5D65">
        <w:t xml:space="preserve"> enhanced learning</w:t>
      </w:r>
      <w:r w:rsidR="00CF0B93" w:rsidRPr="000B5D65">
        <w:t xml:space="preserve"> experienced by students</w:t>
      </w:r>
      <w:r w:rsidR="003971E9" w:rsidRPr="000B5D65">
        <w:t xml:space="preserve"> propel</w:t>
      </w:r>
      <w:r w:rsidR="00EB49DC" w:rsidRPr="000B5D65">
        <w:t>l</w:t>
      </w:r>
      <w:r w:rsidR="003971E9" w:rsidRPr="000B5D65">
        <w:t>ed</w:t>
      </w:r>
      <w:r w:rsidR="00663620" w:rsidRPr="000B5D65">
        <w:t xml:space="preserve"> </w:t>
      </w:r>
      <w:r w:rsidR="00A774B4" w:rsidRPr="000B5D65">
        <w:t xml:space="preserve">many </w:t>
      </w:r>
      <w:r w:rsidR="00663620" w:rsidRPr="000B5D65">
        <w:t xml:space="preserve">who were previously earning failing grades on tests into the passing range. </w:t>
      </w:r>
      <w:r w:rsidR="00665378" w:rsidRPr="000B5D65">
        <w:t>In three of the studies</w:t>
      </w:r>
      <w:r w:rsidR="009D7A1A" w:rsidRPr="000B5D65">
        <w:rPr>
          <w:rStyle w:val="FootnoteReference"/>
        </w:rPr>
        <w:footnoteReference w:id="2"/>
      </w:r>
      <w:r w:rsidR="00665378" w:rsidRPr="000B5D65">
        <w:t xml:space="preserve">, only about </w:t>
      </w:r>
      <w:r w:rsidR="00A074DD" w:rsidRPr="000B5D65">
        <w:t>25%</w:t>
      </w:r>
      <w:r w:rsidR="00665378" w:rsidRPr="000B5D65">
        <w:t xml:space="preserve"> of </w:t>
      </w:r>
      <w:r w:rsidR="00A074DD" w:rsidRPr="000B5D65">
        <w:t xml:space="preserve">the </w:t>
      </w:r>
      <w:r w:rsidR="00665378" w:rsidRPr="000B5D65">
        <w:t xml:space="preserve">students with disabilities were passing the test when the lecture method was used. After participating in the routine in all four studies, about </w:t>
      </w:r>
      <w:r w:rsidR="009D7A1A" w:rsidRPr="000B5D65">
        <w:t xml:space="preserve">75% </w:t>
      </w:r>
      <w:r w:rsidR="00665378" w:rsidRPr="000B5D65">
        <w:t xml:space="preserve">of the students with disabilities were passing the test. </w:t>
      </w:r>
      <w:r w:rsidR="00A074DD" w:rsidRPr="000B5D65">
        <w:t>A larger percentage</w:t>
      </w:r>
      <w:r w:rsidR="009D7A1A" w:rsidRPr="000B5D65">
        <w:t xml:space="preserve"> of the students in the other </w:t>
      </w:r>
      <w:r w:rsidR="00A074DD" w:rsidRPr="000B5D65">
        <w:t xml:space="preserve">experimental </w:t>
      </w:r>
      <w:r w:rsidR="009D7A1A" w:rsidRPr="000B5D65">
        <w:t xml:space="preserve">subgroups were passing the tests as well </w:t>
      </w:r>
      <w:r w:rsidR="0017736B">
        <w:t xml:space="preserve">(a mean of 85% of the </w:t>
      </w:r>
      <w:r w:rsidR="001B198B" w:rsidRPr="001B198B">
        <w:rPr>
          <w:b/>
          <w:bCs/>
        </w:rPr>
        <w:t>low achiever</w:t>
      </w:r>
      <w:r w:rsidR="0017736B" w:rsidRPr="001B198B">
        <w:rPr>
          <w:b/>
          <w:bCs/>
        </w:rPr>
        <w:t xml:space="preserve">s, 91% of the </w:t>
      </w:r>
      <w:r w:rsidR="001B198B" w:rsidRPr="001B198B">
        <w:rPr>
          <w:b/>
          <w:bCs/>
        </w:rPr>
        <w:t>average achiever</w:t>
      </w:r>
      <w:r w:rsidR="0017736B" w:rsidRPr="001B198B">
        <w:rPr>
          <w:b/>
          <w:bCs/>
        </w:rPr>
        <w:t xml:space="preserve">s, and 97% of the </w:t>
      </w:r>
      <w:r w:rsidR="001B198B" w:rsidRPr="001B198B">
        <w:rPr>
          <w:b/>
          <w:bCs/>
        </w:rPr>
        <w:t>high achiever</w:t>
      </w:r>
      <w:r w:rsidR="009D7A1A" w:rsidRPr="001B198B">
        <w:rPr>
          <w:b/>
          <w:bCs/>
        </w:rPr>
        <w:t>s</w:t>
      </w:r>
      <w:r w:rsidR="009D7A1A" w:rsidRPr="000B5D65">
        <w:t xml:space="preserve">). </w:t>
      </w:r>
      <w:r w:rsidR="00663620" w:rsidRPr="000B5D65">
        <w:t>This is a socially significant outcome that can potentially enhance the quality of students’ lives since test scores form the majority of a student’s course grade in secondary courses</w:t>
      </w:r>
      <w:r w:rsidR="0018706C" w:rsidRPr="000B5D65">
        <w:t xml:space="preserve"> (</w:t>
      </w:r>
      <w:r w:rsidR="008326A6" w:rsidRPr="000B5D65">
        <w:t>Putnam</w:t>
      </w:r>
      <w:r w:rsidR="009B449A" w:rsidRPr="000B5D65">
        <w:t xml:space="preserve"> et al.,</w:t>
      </w:r>
      <w:r w:rsidR="0018706C" w:rsidRPr="000B5D65">
        <w:t xml:space="preserve"> </w:t>
      </w:r>
      <w:r w:rsidR="008326A6" w:rsidRPr="000B5D65">
        <w:t>1992</w:t>
      </w:r>
      <w:r w:rsidR="00E01EC2" w:rsidRPr="000B5D65">
        <w:t xml:space="preserve">; </w:t>
      </w:r>
      <w:r w:rsidR="001B198B">
        <w:t xml:space="preserve">Schumaker &amp; </w:t>
      </w:r>
      <w:r w:rsidR="001B198B">
        <w:lastRenderedPageBreak/>
        <w:t>Deshler</w:t>
      </w:r>
      <w:r w:rsidR="00E01EC2" w:rsidRPr="000B5D65">
        <w:t>, 1984). Logically, s</w:t>
      </w:r>
      <w:r w:rsidR="0018706C" w:rsidRPr="000B5D65">
        <w:t>tudents who pass their courses are more likely to</w:t>
      </w:r>
      <w:r w:rsidR="00662D22">
        <w:t xml:space="preserve"> earn course credit and</w:t>
      </w:r>
      <w:r w:rsidR="0018706C" w:rsidRPr="000B5D65">
        <w:t xml:space="preserve"> stay in school and graduate</w:t>
      </w:r>
      <w:r w:rsidR="00DC7C94">
        <w:t xml:space="preserve"> (e.g., </w:t>
      </w:r>
      <w:r w:rsidR="00DC7C94" w:rsidRPr="000428EB">
        <w:t>Johnson et al., 2005).</w:t>
      </w:r>
      <w:r w:rsidR="0018706C" w:rsidRPr="000B5D65">
        <w:t xml:space="preserve"> </w:t>
      </w:r>
    </w:p>
    <w:p w14:paraId="5E4122F3" w14:textId="77777777" w:rsidR="00CE0B6C" w:rsidRDefault="00A074DD" w:rsidP="00810D04">
      <w:pPr>
        <w:widowControl w:val="0"/>
        <w:spacing w:line="480" w:lineRule="auto"/>
        <w:ind w:firstLine="720"/>
        <w:rPr>
          <w:b/>
          <w:bCs/>
        </w:rPr>
      </w:pPr>
      <w:r w:rsidRPr="000B5D65">
        <w:t>Meaningfully</w:t>
      </w:r>
      <w:r w:rsidR="00884747" w:rsidRPr="000B5D65">
        <w:t>, this</w:t>
      </w:r>
      <w:r w:rsidR="0054502D" w:rsidRPr="000B5D65">
        <w:t xml:space="preserve"> group of validation studies</w:t>
      </w:r>
      <w:r w:rsidRPr="000B5D65">
        <w:t>, although each is</w:t>
      </w:r>
      <w:r w:rsidR="0054502D" w:rsidRPr="000B5D65">
        <w:t xml:space="preserve"> </w:t>
      </w:r>
      <w:r w:rsidR="00680A06" w:rsidRPr="000B5D65">
        <w:t>focused</w:t>
      </w:r>
      <w:r w:rsidR="00506A5A" w:rsidRPr="000B5D65">
        <w:t xml:space="preserve"> </w:t>
      </w:r>
      <w:r w:rsidR="00E16132" w:rsidRPr="000B5D65">
        <w:t>on</w:t>
      </w:r>
      <w:r w:rsidR="0054502D" w:rsidRPr="000B5D65">
        <w:t xml:space="preserve"> </w:t>
      </w:r>
      <w:r w:rsidRPr="000B5D65">
        <w:t xml:space="preserve">an </w:t>
      </w:r>
      <w:r w:rsidR="0054502D" w:rsidRPr="000B5D65">
        <w:t>individ</w:t>
      </w:r>
      <w:r w:rsidRPr="000B5D65">
        <w:t>ual Content Enhancement Routine,</w:t>
      </w:r>
      <w:r w:rsidR="0054502D" w:rsidRPr="000B5D65">
        <w:t xml:space="preserve"> </w:t>
      </w:r>
      <w:r w:rsidR="00B0504D">
        <w:t>lends some credence</w:t>
      </w:r>
      <w:r w:rsidR="0054502D" w:rsidRPr="000B5D65">
        <w:t xml:space="preserve"> </w:t>
      </w:r>
      <w:r w:rsidR="00181A40">
        <w:t>to</w:t>
      </w:r>
      <w:r w:rsidR="0054502D" w:rsidRPr="000B5D65">
        <w:t xml:space="preserve"> the</w:t>
      </w:r>
      <w:r w:rsidR="00B0504D">
        <w:t xml:space="preserve"> notion that the </w:t>
      </w:r>
      <w:r w:rsidR="0054502D" w:rsidRPr="000B5D65">
        <w:t>Content Enhancement Approach</w:t>
      </w:r>
      <w:r w:rsidR="00884747" w:rsidRPr="000B5D65">
        <w:t xml:space="preserve"> as a whole</w:t>
      </w:r>
      <w:r w:rsidR="00B0504D">
        <w:t xml:space="preserve"> is effective</w:t>
      </w:r>
      <w:r w:rsidR="0054502D" w:rsidRPr="000B5D65">
        <w:t xml:space="preserve">. All </w:t>
      </w:r>
      <w:r w:rsidR="00CE0B6C">
        <w:t>four of the</w:t>
      </w:r>
      <w:r w:rsidR="0054502D" w:rsidRPr="000B5D65">
        <w:t xml:space="preserve"> routines </w:t>
      </w:r>
      <w:r w:rsidR="00CE0B6C">
        <w:t>reviewed herein</w:t>
      </w:r>
      <w:r w:rsidR="0054502D" w:rsidRPr="000B5D65">
        <w:t xml:space="preserve"> include the same three-phase sequence of instruction</w:t>
      </w:r>
      <w:r w:rsidR="009B449A" w:rsidRPr="000B5D65">
        <w:t xml:space="preserve"> (i.e., “Cue,” “Do,” and “Review”)</w:t>
      </w:r>
      <w:r w:rsidR="00680A06" w:rsidRPr="000B5D65">
        <w:t xml:space="preserve">, </w:t>
      </w:r>
      <w:r w:rsidRPr="000B5D65">
        <w:t xml:space="preserve">high levels of student </w:t>
      </w:r>
      <w:r w:rsidR="00B0504D">
        <w:t>active academic responding through writing, reading, and speaking</w:t>
      </w:r>
      <w:r w:rsidRPr="000B5D65">
        <w:t xml:space="preserve">, </w:t>
      </w:r>
      <w:r w:rsidR="00680A06" w:rsidRPr="000B5D65">
        <w:t>a</w:t>
      </w:r>
      <w:r w:rsidR="0054502D" w:rsidRPr="000B5D65">
        <w:t xml:space="preserve"> co-constructive partnership and discussion between the teacher and students, and a visual </w:t>
      </w:r>
      <w:r w:rsidR="009B449A" w:rsidRPr="000B5D65">
        <w:t xml:space="preserve">graphic </w:t>
      </w:r>
      <w:r w:rsidR="0054502D" w:rsidRPr="000B5D65">
        <w:t xml:space="preserve">device that depicts the relationships among the </w:t>
      </w:r>
      <w:r w:rsidR="00B0504D">
        <w:t xml:space="preserve">pieces of </w:t>
      </w:r>
      <w:r w:rsidR="0054502D" w:rsidRPr="000B5D65">
        <w:t xml:space="preserve">information in a concrete way. </w:t>
      </w:r>
      <w:r w:rsidR="00B0504D" w:rsidRPr="00181A40">
        <w:rPr>
          <w:b/>
          <w:bCs/>
        </w:rPr>
        <w:t>The most important information is displayed, and</w:t>
      </w:r>
      <w:r w:rsidR="00CE0B6C">
        <w:rPr>
          <w:b/>
          <w:bCs/>
        </w:rPr>
        <w:t>,</w:t>
      </w:r>
      <w:r w:rsidR="00B0504D" w:rsidRPr="00181A40">
        <w:rPr>
          <w:b/>
          <w:bCs/>
        </w:rPr>
        <w:t xml:space="preserve"> as such, is distinguished from unimportant information in a learner-friendly way. As a result, students understand and retain the information longer.</w:t>
      </w:r>
      <w:r w:rsidR="00B0504D">
        <w:t xml:space="preserve"> Th</w:t>
      </w:r>
      <w:r w:rsidR="00181A40">
        <w:t xml:space="preserve">us, the </w:t>
      </w:r>
      <w:r w:rsidR="0054502D" w:rsidRPr="000B5D65">
        <w:t>routines are paralle</w:t>
      </w:r>
      <w:r w:rsidR="009B449A" w:rsidRPr="000B5D65">
        <w:t>l in their structure and procedure</w:t>
      </w:r>
      <w:r w:rsidR="00181A40">
        <w:t xml:space="preserve">, </w:t>
      </w:r>
      <w:r w:rsidR="00181A40" w:rsidRPr="00181A40">
        <w:rPr>
          <w:b/>
          <w:bCs/>
        </w:rPr>
        <w:t>and t</w:t>
      </w:r>
      <w:r w:rsidR="00680A06" w:rsidRPr="00181A40">
        <w:rPr>
          <w:b/>
          <w:bCs/>
        </w:rPr>
        <w:t>his</w:t>
      </w:r>
      <w:r w:rsidR="00E16132" w:rsidRPr="00181A40">
        <w:rPr>
          <w:b/>
          <w:bCs/>
        </w:rPr>
        <w:t xml:space="preserve"> gr</w:t>
      </w:r>
      <w:r w:rsidR="00ED2AC0" w:rsidRPr="00181A40">
        <w:rPr>
          <w:b/>
          <w:bCs/>
        </w:rPr>
        <w:t xml:space="preserve">oup of </w:t>
      </w:r>
      <w:r w:rsidR="00680A06" w:rsidRPr="00181A40">
        <w:rPr>
          <w:b/>
          <w:bCs/>
        </w:rPr>
        <w:t xml:space="preserve">validation </w:t>
      </w:r>
      <w:r w:rsidR="00ED2AC0" w:rsidRPr="00181A40">
        <w:rPr>
          <w:b/>
          <w:bCs/>
        </w:rPr>
        <w:t xml:space="preserve">studies </w:t>
      </w:r>
      <w:r w:rsidR="00E16132" w:rsidRPr="00181A40">
        <w:rPr>
          <w:b/>
          <w:bCs/>
        </w:rPr>
        <w:t xml:space="preserve">provide </w:t>
      </w:r>
      <w:r w:rsidR="00CE0B6C">
        <w:rPr>
          <w:b/>
          <w:bCs/>
        </w:rPr>
        <w:t xml:space="preserve">some </w:t>
      </w:r>
      <w:r w:rsidR="00E16132" w:rsidRPr="00181A40">
        <w:rPr>
          <w:b/>
          <w:bCs/>
        </w:rPr>
        <w:t xml:space="preserve">support for the Content Enhancement Approach as a whole. </w:t>
      </w:r>
      <w:r w:rsidR="00181A40" w:rsidRPr="00181A40">
        <w:rPr>
          <w:b/>
          <w:bCs/>
        </w:rPr>
        <w:t>Because no study has tested the effects of several Content Enhancement Routines together, a firmer conclusion cannot be drawn about the approach as a whole. Nevertheless, the current authors are not aware of any other approach to general education subject-area education that consistently produces socially significant gains for all subgroups of students</w:t>
      </w:r>
      <w:r w:rsidR="00CE0B6C">
        <w:rPr>
          <w:b/>
          <w:bCs/>
        </w:rPr>
        <w:t xml:space="preserve"> including students with disabilities</w:t>
      </w:r>
      <w:r w:rsidR="00181A40" w:rsidRPr="00181A40">
        <w:rPr>
          <w:b/>
          <w:bCs/>
        </w:rPr>
        <w:t>.</w:t>
      </w:r>
    </w:p>
    <w:p w14:paraId="442724F4" w14:textId="655E1F6B" w:rsidR="00CE0B6C" w:rsidRDefault="00CE0B6C" w:rsidP="00810D04">
      <w:pPr>
        <w:widowControl w:val="0"/>
        <w:spacing w:line="480" w:lineRule="auto"/>
        <w:rPr>
          <w:b/>
          <w:bCs/>
        </w:rPr>
      </w:pPr>
      <w:r>
        <w:rPr>
          <w:b/>
          <w:bCs/>
        </w:rPr>
        <w:t>Strengths and Limitations</w:t>
      </w:r>
    </w:p>
    <w:p w14:paraId="3844D8E3" w14:textId="11347226" w:rsidR="0075582C" w:rsidRDefault="00CE0B6C" w:rsidP="00810D04">
      <w:pPr>
        <w:widowControl w:val="0"/>
        <w:spacing w:line="480" w:lineRule="auto"/>
        <w:ind w:firstLine="720"/>
        <w:rPr>
          <w:b/>
          <w:bCs/>
        </w:rPr>
      </w:pPr>
      <w:r>
        <w:rPr>
          <w:b/>
          <w:bCs/>
        </w:rPr>
        <w:t>The studies reviewed here have some strengths a</w:t>
      </w:r>
      <w:r w:rsidR="00704EDD">
        <w:rPr>
          <w:b/>
          <w:bCs/>
        </w:rPr>
        <w:t>s well as some</w:t>
      </w:r>
      <w:r>
        <w:rPr>
          <w:b/>
          <w:bCs/>
        </w:rPr>
        <w:t xml:space="preserve"> limitations. </w:t>
      </w:r>
      <w:r w:rsidR="00704EDD">
        <w:rPr>
          <w:b/>
          <w:bCs/>
        </w:rPr>
        <w:t xml:space="preserve">First, they were all conducted in schools with information derived from subject matter being taught in general education courses to secondary students. </w:t>
      </w:r>
      <w:r w:rsidR="001B532E">
        <w:rPr>
          <w:b/>
          <w:bCs/>
        </w:rPr>
        <w:t>Thus, their general application to general education settings can be assumed. Second, t</w:t>
      </w:r>
      <w:r w:rsidR="00704EDD">
        <w:rPr>
          <w:b/>
          <w:bCs/>
        </w:rPr>
        <w:t xml:space="preserve">hey all employed experimental designs that controlled for the effects of extraneous variables. </w:t>
      </w:r>
      <w:r w:rsidR="001B532E">
        <w:rPr>
          <w:b/>
          <w:bCs/>
        </w:rPr>
        <w:t xml:space="preserve">Thus, the validity of their </w:t>
      </w:r>
      <w:r w:rsidR="001B532E">
        <w:rPr>
          <w:b/>
          <w:bCs/>
        </w:rPr>
        <w:lastRenderedPageBreak/>
        <w:t xml:space="preserve">results can be assured. Third, a </w:t>
      </w:r>
      <w:r w:rsidR="00704EDD">
        <w:rPr>
          <w:b/>
          <w:bCs/>
        </w:rPr>
        <w:t xml:space="preserve">combination of measures </w:t>
      </w:r>
      <w:r w:rsidR="009F6817">
        <w:rPr>
          <w:b/>
          <w:bCs/>
        </w:rPr>
        <w:t>was</w:t>
      </w:r>
      <w:r w:rsidR="00704EDD">
        <w:rPr>
          <w:b/>
          <w:bCs/>
        </w:rPr>
        <w:t xml:space="preserve"> used. In some studies, the measurement instruments included publisher-made tests and teacher-made tests (</w:t>
      </w:r>
      <w:proofErr w:type="spellStart"/>
      <w:r w:rsidR="00704EDD">
        <w:rPr>
          <w:b/>
          <w:bCs/>
        </w:rPr>
        <w:t>Bulgren</w:t>
      </w:r>
      <w:proofErr w:type="spellEnd"/>
      <w:r w:rsidR="00704EDD">
        <w:rPr>
          <w:b/>
          <w:bCs/>
        </w:rPr>
        <w:t xml:space="preserve"> et al., 1988). In other studies, the measurement instruments were tightly controlled, researcher-constructed tests </w:t>
      </w:r>
      <w:r w:rsidR="001B532E">
        <w:rPr>
          <w:b/>
          <w:bCs/>
        </w:rPr>
        <w:t xml:space="preserve">that were </w:t>
      </w:r>
      <w:r w:rsidR="00704EDD">
        <w:rPr>
          <w:b/>
          <w:bCs/>
        </w:rPr>
        <w:t xml:space="preserve">reviewed by experts (e.g., </w:t>
      </w:r>
      <w:proofErr w:type="spellStart"/>
      <w:r w:rsidR="00704EDD" w:rsidRPr="00DC7C94">
        <w:rPr>
          <w:b/>
          <w:bCs/>
        </w:rPr>
        <w:t>Bulgren</w:t>
      </w:r>
      <w:proofErr w:type="spellEnd"/>
      <w:r w:rsidR="00704EDD" w:rsidRPr="00DC7C94">
        <w:rPr>
          <w:b/>
          <w:bCs/>
        </w:rPr>
        <w:t xml:space="preserve"> et al., </w:t>
      </w:r>
      <w:r w:rsidR="00DC7C94" w:rsidRPr="00DC7C94">
        <w:rPr>
          <w:b/>
          <w:bCs/>
        </w:rPr>
        <w:t>2000</w:t>
      </w:r>
      <w:r w:rsidR="00704EDD" w:rsidRPr="00DC7C94">
        <w:rPr>
          <w:b/>
          <w:bCs/>
        </w:rPr>
        <w:t>)</w:t>
      </w:r>
      <w:r w:rsidR="001B532E">
        <w:rPr>
          <w:b/>
          <w:bCs/>
        </w:rPr>
        <w:t xml:space="preserve"> and that were formatted similarly to the types of tests given in today’s schools.</w:t>
      </w:r>
      <w:r w:rsidR="00704EDD">
        <w:rPr>
          <w:b/>
          <w:bCs/>
        </w:rPr>
        <w:t xml:space="preserve"> Regardless of the type of measure, </w:t>
      </w:r>
      <w:r w:rsidR="001B532E">
        <w:rPr>
          <w:b/>
          <w:bCs/>
        </w:rPr>
        <w:t xml:space="preserve">though, </w:t>
      </w:r>
      <w:r w:rsidR="00704EDD">
        <w:rPr>
          <w:b/>
          <w:bCs/>
        </w:rPr>
        <w:t xml:space="preserve">the same types of results were achieved: the subgroups </w:t>
      </w:r>
      <w:r w:rsidR="001B532E">
        <w:rPr>
          <w:b/>
          <w:bCs/>
        </w:rPr>
        <w:t xml:space="preserve">of students </w:t>
      </w:r>
      <w:r w:rsidR="00704EDD">
        <w:rPr>
          <w:b/>
          <w:bCs/>
        </w:rPr>
        <w:t>demonstrated performance gains.</w:t>
      </w:r>
      <w:r w:rsidR="001B532E">
        <w:rPr>
          <w:b/>
          <w:bCs/>
        </w:rPr>
        <w:t xml:space="preserve"> Furthermore, in</w:t>
      </w:r>
      <w:r w:rsidR="0075582C">
        <w:rPr>
          <w:b/>
          <w:bCs/>
        </w:rPr>
        <w:t xml:space="preserve"> one study (</w:t>
      </w:r>
      <w:proofErr w:type="spellStart"/>
      <w:r w:rsidR="0075582C">
        <w:rPr>
          <w:b/>
          <w:bCs/>
        </w:rPr>
        <w:t>Bulgren</w:t>
      </w:r>
      <w:proofErr w:type="spellEnd"/>
      <w:r w:rsidR="0075582C">
        <w:rPr>
          <w:b/>
          <w:bCs/>
        </w:rPr>
        <w:t xml:space="preserve"> et al., 1988), the regularly assigned teachers created the graphic organizers</w:t>
      </w:r>
      <w:r w:rsidR="00DE300F">
        <w:rPr>
          <w:b/>
          <w:bCs/>
        </w:rPr>
        <w:t xml:space="preserve"> and</w:t>
      </w:r>
      <w:r w:rsidR="0075582C">
        <w:rPr>
          <w:b/>
          <w:bCs/>
        </w:rPr>
        <w:t xml:space="preserve"> taught the regularly scheduled unit content</w:t>
      </w:r>
      <w:r w:rsidR="00DE300F">
        <w:rPr>
          <w:b/>
          <w:bCs/>
        </w:rPr>
        <w:t xml:space="preserve"> to their regularly scheduled students. Moreover, this study transpired over time across numerous content units. </w:t>
      </w:r>
      <w:r w:rsidR="001B532E">
        <w:rPr>
          <w:b/>
          <w:bCs/>
        </w:rPr>
        <w:t xml:space="preserve">Thus, the </w:t>
      </w:r>
      <w:proofErr w:type="spellStart"/>
      <w:r w:rsidR="001B532E">
        <w:rPr>
          <w:b/>
          <w:bCs/>
        </w:rPr>
        <w:t>Bulgren</w:t>
      </w:r>
      <w:proofErr w:type="spellEnd"/>
      <w:r w:rsidR="001B532E">
        <w:rPr>
          <w:b/>
          <w:bCs/>
        </w:rPr>
        <w:t xml:space="preserve"> et al. (1988) study lends some credence to the notion that teachers can create the organizers and apply the routine to their subject-matter content. </w:t>
      </w:r>
    </w:p>
    <w:p w14:paraId="489D184F" w14:textId="1FD7FAE4" w:rsidR="0052764D" w:rsidRDefault="0075582C" w:rsidP="00810D04">
      <w:pPr>
        <w:widowControl w:val="0"/>
        <w:spacing w:line="480" w:lineRule="auto"/>
        <w:ind w:firstLine="720"/>
        <w:rPr>
          <w:b/>
          <w:bCs/>
        </w:rPr>
      </w:pPr>
      <w:r>
        <w:rPr>
          <w:b/>
          <w:bCs/>
        </w:rPr>
        <w:t xml:space="preserve">With regard to limitations, with the exception of the </w:t>
      </w:r>
      <w:proofErr w:type="spellStart"/>
      <w:r>
        <w:rPr>
          <w:b/>
          <w:bCs/>
        </w:rPr>
        <w:t>Bulgren</w:t>
      </w:r>
      <w:proofErr w:type="spellEnd"/>
      <w:r>
        <w:rPr>
          <w:b/>
          <w:bCs/>
        </w:rPr>
        <w:t xml:space="preserve"> et al. (1988) study, the instructor </w:t>
      </w:r>
      <w:r w:rsidR="00DE300F">
        <w:rPr>
          <w:b/>
          <w:bCs/>
        </w:rPr>
        <w:t xml:space="preserve">for three of the routines </w:t>
      </w:r>
      <w:r>
        <w:rPr>
          <w:b/>
          <w:bCs/>
        </w:rPr>
        <w:t>was the researcher. Also</w:t>
      </w:r>
      <w:r w:rsidR="00DE300F">
        <w:rPr>
          <w:b/>
          <w:bCs/>
        </w:rPr>
        <w:t>,</w:t>
      </w:r>
      <w:r>
        <w:rPr>
          <w:b/>
          <w:bCs/>
        </w:rPr>
        <w:t xml:space="preserve"> with the exception of the </w:t>
      </w:r>
      <w:proofErr w:type="spellStart"/>
      <w:r>
        <w:rPr>
          <w:b/>
          <w:bCs/>
        </w:rPr>
        <w:t>Bulgren</w:t>
      </w:r>
      <w:proofErr w:type="spellEnd"/>
      <w:r>
        <w:rPr>
          <w:b/>
          <w:bCs/>
        </w:rPr>
        <w:t xml:space="preserve"> et al. (1988) study, the information taught was carefully chosen and controlled</w:t>
      </w:r>
      <w:r w:rsidR="00DE300F">
        <w:rPr>
          <w:b/>
          <w:bCs/>
        </w:rPr>
        <w:t xml:space="preserve"> to correspond to the measurement instruments</w:t>
      </w:r>
      <w:r w:rsidR="001B532E">
        <w:rPr>
          <w:b/>
          <w:bCs/>
        </w:rPr>
        <w:t>, and the graphic organizers were created by the researcher</w:t>
      </w:r>
      <w:r w:rsidR="00DE300F">
        <w:rPr>
          <w:b/>
          <w:bCs/>
        </w:rPr>
        <w:t xml:space="preserve">. The time frame was also carefully controlled to be </w:t>
      </w:r>
      <w:r w:rsidR="00DE300F" w:rsidRPr="00DC7C94">
        <w:rPr>
          <w:b/>
          <w:bCs/>
        </w:rPr>
        <w:t>one or two sessions.</w:t>
      </w:r>
      <w:r w:rsidR="00DE300F">
        <w:rPr>
          <w:b/>
          <w:bCs/>
        </w:rPr>
        <w:t xml:space="preserve"> Thus, th</w:t>
      </w:r>
      <w:r w:rsidR="00EC7975">
        <w:rPr>
          <w:b/>
          <w:bCs/>
        </w:rPr>
        <w:t>ree</w:t>
      </w:r>
      <w:r w:rsidR="00DE300F">
        <w:rPr>
          <w:b/>
          <w:bCs/>
        </w:rPr>
        <w:t xml:space="preserve"> of the studies</w:t>
      </w:r>
      <w:r w:rsidR="00EC7975">
        <w:rPr>
          <w:b/>
          <w:bCs/>
        </w:rPr>
        <w:t>, although they took place in schools under typical school conditions, were limited by their restricted use of a single instructor and tightly controlled content and measures. Nonetheless, because the instructor was a certified teacher, the limited content was derived from actual content being taught in the schools, and the format of the tests was similar to tests being given in today’s schools, the studies are expected to have some generality to today’s school conditions.</w:t>
      </w:r>
    </w:p>
    <w:p w14:paraId="04BF95D8" w14:textId="5B22C6AE" w:rsidR="00DF76E0" w:rsidRDefault="00DF76E0" w:rsidP="00810D04">
      <w:pPr>
        <w:widowControl w:val="0"/>
        <w:spacing w:line="480" w:lineRule="auto"/>
        <w:rPr>
          <w:b/>
          <w:bCs/>
        </w:rPr>
      </w:pPr>
      <w:r>
        <w:rPr>
          <w:b/>
          <w:bCs/>
        </w:rPr>
        <w:t>Relation to Other Research</w:t>
      </w:r>
    </w:p>
    <w:p w14:paraId="602CD966" w14:textId="61273A6F" w:rsidR="00DF76E0" w:rsidRDefault="00A417DB" w:rsidP="00810D04">
      <w:pPr>
        <w:widowControl w:val="0"/>
        <w:spacing w:line="480" w:lineRule="auto"/>
        <w:ind w:firstLine="810"/>
        <w:rPr>
          <w:b/>
          <w:bCs/>
        </w:rPr>
      </w:pPr>
      <w:r>
        <w:rPr>
          <w:b/>
          <w:bCs/>
        </w:rPr>
        <w:lastRenderedPageBreak/>
        <w:t xml:space="preserve">The studies reviewed in the current article join a small but growing number of studies related to the education of secondary students with disabilities in inclusive general education subject-area courses. </w:t>
      </w:r>
      <w:r w:rsidR="00EA54BA">
        <w:rPr>
          <w:b/>
          <w:bCs/>
        </w:rPr>
        <w:t xml:space="preserve">Dexter </w:t>
      </w:r>
      <w:r w:rsidR="00726650">
        <w:rPr>
          <w:b/>
          <w:bCs/>
        </w:rPr>
        <w:t>and</w:t>
      </w:r>
      <w:r w:rsidR="00EA54BA">
        <w:rPr>
          <w:b/>
          <w:bCs/>
        </w:rPr>
        <w:t xml:space="preserve"> Hughes (2011), for example, conducted a meta-analysis that found that graphic organizers are associated with increases in vocabulary knowledge, comprehension, and inferential knowledge in students with LD in core-content classes like English, science, and social studies. This meta-analysis provides support for the graphic organizer </w:t>
      </w:r>
      <w:r w:rsidR="0052519C">
        <w:rPr>
          <w:b/>
          <w:bCs/>
        </w:rPr>
        <w:t xml:space="preserve">element </w:t>
      </w:r>
      <w:r w:rsidR="00EA54BA">
        <w:rPr>
          <w:b/>
          <w:bCs/>
        </w:rPr>
        <w:t xml:space="preserve">that is present in all of the Content Enhancement Routines. </w:t>
      </w:r>
      <w:r>
        <w:rPr>
          <w:b/>
          <w:bCs/>
        </w:rPr>
        <w:t xml:space="preserve">Also, </w:t>
      </w:r>
      <w:r w:rsidR="002031F4">
        <w:rPr>
          <w:b/>
          <w:bCs/>
        </w:rPr>
        <w:t xml:space="preserve">Scruggs et al. (2012) tested the use of </w:t>
      </w:r>
      <w:r w:rsidR="003F5466">
        <w:rPr>
          <w:b/>
          <w:bCs/>
        </w:rPr>
        <w:t xml:space="preserve">a </w:t>
      </w:r>
      <w:r w:rsidR="002031F4">
        <w:rPr>
          <w:b/>
          <w:bCs/>
        </w:rPr>
        <w:t>peer</w:t>
      </w:r>
      <w:r w:rsidR="003F5466">
        <w:rPr>
          <w:b/>
          <w:bCs/>
        </w:rPr>
        <w:t>-</w:t>
      </w:r>
      <w:r w:rsidR="002031F4">
        <w:rPr>
          <w:b/>
          <w:bCs/>
        </w:rPr>
        <w:t>mediation</w:t>
      </w:r>
      <w:r w:rsidR="003F5466">
        <w:rPr>
          <w:b/>
          <w:bCs/>
        </w:rPr>
        <w:t xml:space="preserve"> routine in inclusive secondary classrooms. They found a significant difference between groups’ performance on social studies tests. Another team led by Vaughn has tested the use of a routine called “Promoting Adolescents’ Comprehe</w:t>
      </w:r>
      <w:r w:rsidR="00D42FFA">
        <w:rPr>
          <w:b/>
          <w:bCs/>
        </w:rPr>
        <w:t>n</w:t>
      </w:r>
      <w:r w:rsidR="003F5466">
        <w:rPr>
          <w:b/>
          <w:bCs/>
        </w:rPr>
        <w:t xml:space="preserve">sion of Text” (PACT). As a part of this effort, six randomized controlled trials </w:t>
      </w:r>
      <w:r>
        <w:rPr>
          <w:b/>
          <w:bCs/>
        </w:rPr>
        <w:t>involving</w:t>
      </w:r>
      <w:r w:rsidR="003F5466">
        <w:rPr>
          <w:b/>
          <w:bCs/>
        </w:rPr>
        <w:t xml:space="preserve"> a total of thousands of students have been conducted (see Swanson &amp; Boucher, 2021 for a review</w:t>
      </w:r>
      <w:r w:rsidR="00D96FE6">
        <w:rPr>
          <w:b/>
          <w:bCs/>
        </w:rPr>
        <w:t xml:space="preserve"> and </w:t>
      </w:r>
      <w:proofErr w:type="spellStart"/>
      <w:r w:rsidR="00D96FE6">
        <w:rPr>
          <w:b/>
          <w:bCs/>
        </w:rPr>
        <w:t>Wanzek</w:t>
      </w:r>
      <w:proofErr w:type="spellEnd"/>
      <w:r w:rsidR="00D96FE6">
        <w:rPr>
          <w:b/>
          <w:bCs/>
        </w:rPr>
        <w:t xml:space="preserve"> et al., 2016, for an example</w:t>
      </w:r>
      <w:r w:rsidR="003F5466">
        <w:rPr>
          <w:b/>
          <w:bCs/>
        </w:rPr>
        <w:t>)</w:t>
      </w:r>
      <w:r w:rsidR="00D42FFA">
        <w:rPr>
          <w:b/>
          <w:bCs/>
        </w:rPr>
        <w:t xml:space="preserve">. The results </w:t>
      </w:r>
      <w:r>
        <w:rPr>
          <w:b/>
          <w:bCs/>
        </w:rPr>
        <w:t xml:space="preserve">have </w:t>
      </w:r>
      <w:r w:rsidR="00D42FFA">
        <w:rPr>
          <w:b/>
          <w:bCs/>
        </w:rPr>
        <w:t>show</w:t>
      </w:r>
      <w:r w:rsidR="00B47D87">
        <w:rPr>
          <w:b/>
          <w:bCs/>
        </w:rPr>
        <w:t xml:space="preserve">n </w:t>
      </w:r>
      <w:r w:rsidR="00D42FFA">
        <w:rPr>
          <w:b/>
          <w:bCs/>
        </w:rPr>
        <w:t xml:space="preserve">that students with disabilities who have participated in PACT outperform their peers with disabilities in the control condition on measures of content knowledge, vocabulary, </w:t>
      </w:r>
      <w:r w:rsidR="00B47D87">
        <w:rPr>
          <w:b/>
          <w:bCs/>
        </w:rPr>
        <w:t xml:space="preserve">and </w:t>
      </w:r>
      <w:r w:rsidR="00D42FFA">
        <w:rPr>
          <w:b/>
          <w:bCs/>
        </w:rPr>
        <w:t xml:space="preserve">content reading comprehension. </w:t>
      </w:r>
      <w:r>
        <w:rPr>
          <w:b/>
          <w:bCs/>
        </w:rPr>
        <w:t xml:space="preserve">When </w:t>
      </w:r>
      <w:proofErr w:type="spellStart"/>
      <w:r>
        <w:rPr>
          <w:b/>
          <w:bCs/>
        </w:rPr>
        <w:t>Maciver</w:t>
      </w:r>
      <w:proofErr w:type="spellEnd"/>
      <w:r>
        <w:rPr>
          <w:b/>
          <w:bCs/>
        </w:rPr>
        <w:t xml:space="preserve"> et al. (2018) conducted focus groups and interviews with 125 educators to determine what they considered to be best practices</w:t>
      </w:r>
      <w:r w:rsidR="00B47D87">
        <w:rPr>
          <w:b/>
          <w:bCs/>
        </w:rPr>
        <w:t xml:space="preserve"> in</w:t>
      </w:r>
      <w:r>
        <w:rPr>
          <w:b/>
          <w:bCs/>
        </w:rPr>
        <w:t xml:space="preserve"> inclusive classrooms, the</w:t>
      </w:r>
      <w:r w:rsidR="00B47D87">
        <w:rPr>
          <w:b/>
          <w:bCs/>
        </w:rPr>
        <w:t>y</w:t>
      </w:r>
      <w:r>
        <w:rPr>
          <w:b/>
          <w:bCs/>
        </w:rPr>
        <w:t xml:space="preserve"> named structures, routines, and teacher-led learning strategies. Thus, researchers in this area seem to be creating innovati</w:t>
      </w:r>
      <w:r w:rsidR="0080437E">
        <w:rPr>
          <w:b/>
          <w:bCs/>
        </w:rPr>
        <w:t>ve routines</w:t>
      </w:r>
      <w:r>
        <w:rPr>
          <w:b/>
          <w:bCs/>
        </w:rPr>
        <w:t xml:space="preserve"> that not only produce</w:t>
      </w:r>
      <w:r w:rsidR="00B47D87">
        <w:rPr>
          <w:b/>
          <w:bCs/>
        </w:rPr>
        <w:t xml:space="preserve"> improved performance for students but that</w:t>
      </w:r>
      <w:r>
        <w:rPr>
          <w:b/>
          <w:bCs/>
        </w:rPr>
        <w:t xml:space="preserve"> educators </w:t>
      </w:r>
      <w:r w:rsidR="0080437E">
        <w:rPr>
          <w:b/>
          <w:bCs/>
        </w:rPr>
        <w:t xml:space="preserve">consider </w:t>
      </w:r>
      <w:r>
        <w:rPr>
          <w:b/>
          <w:bCs/>
        </w:rPr>
        <w:t xml:space="preserve">acceptable. </w:t>
      </w:r>
    </w:p>
    <w:p w14:paraId="6652AB8D" w14:textId="77777777" w:rsidR="0052764D" w:rsidRDefault="0052764D" w:rsidP="00810D04">
      <w:pPr>
        <w:widowControl w:val="0"/>
        <w:spacing w:line="480" w:lineRule="auto"/>
        <w:rPr>
          <w:b/>
          <w:bCs/>
        </w:rPr>
      </w:pPr>
      <w:r>
        <w:rPr>
          <w:b/>
          <w:bCs/>
        </w:rPr>
        <w:t>Educational Implications</w:t>
      </w:r>
    </w:p>
    <w:p w14:paraId="33DD5016" w14:textId="132AAFC7" w:rsidR="0018706C" w:rsidRPr="00181A40" w:rsidRDefault="0052764D" w:rsidP="00810D04">
      <w:pPr>
        <w:widowControl w:val="0"/>
        <w:spacing w:line="480" w:lineRule="auto"/>
        <w:ind w:firstLine="720"/>
        <w:rPr>
          <w:b/>
          <w:bCs/>
        </w:rPr>
      </w:pPr>
      <w:r>
        <w:rPr>
          <w:b/>
          <w:bCs/>
        </w:rPr>
        <w:t xml:space="preserve">The results of the reviewed studies lead to certain implications for instruction in general education subject-area courses. Regardless of whether students with disabilities are </w:t>
      </w:r>
      <w:r>
        <w:rPr>
          <w:b/>
          <w:bCs/>
        </w:rPr>
        <w:lastRenderedPageBreak/>
        <w:t xml:space="preserve">enrolled in the courses, the Content Enhancement Routines featured herein are likely to produce improved performance for low achievers and average achievers, and sometimes for high achievers. </w:t>
      </w:r>
      <w:r w:rsidR="00017E0E">
        <w:rPr>
          <w:b/>
          <w:bCs/>
        </w:rPr>
        <w:t>(</w:t>
      </w:r>
      <w:r>
        <w:rPr>
          <w:b/>
          <w:bCs/>
        </w:rPr>
        <w:t xml:space="preserve">Gains are sometimes not realized by high achievers because they earn pretest scores at </w:t>
      </w:r>
      <w:bookmarkStart w:id="0" w:name="_GoBack"/>
      <w:bookmarkEnd w:id="0"/>
      <w:r>
        <w:rPr>
          <w:b/>
          <w:bCs/>
        </w:rPr>
        <w:t>the ceiling</w:t>
      </w:r>
      <w:r w:rsidR="0080437E">
        <w:rPr>
          <w:b/>
          <w:bCs/>
        </w:rPr>
        <w:t xml:space="preserve"> level</w:t>
      </w:r>
      <w:r>
        <w:rPr>
          <w:b/>
          <w:bCs/>
        </w:rPr>
        <w:t>.</w:t>
      </w:r>
      <w:r w:rsidR="00017E0E">
        <w:rPr>
          <w:b/>
          <w:bCs/>
        </w:rPr>
        <w:t>)</w:t>
      </w:r>
      <w:r>
        <w:rPr>
          <w:b/>
          <w:bCs/>
        </w:rPr>
        <w:t xml:space="preserve"> When students with disabilities who are normally enrolled in these classes are included, they also make significant gains. The performance of none of the subgroups is harmed by the use of the routines, and many more students pass the tests when the routines are used versus when they are not used. Thus, the reviewed Content Enhancement Routines are appropriate for use in general education courses in which all these types of students are enrolled. In order for teachers of these courses to be trained to use the Content Enhancement Routines, their coursework will need to include information and models of how the routines work as well as practice in using the routines in their practicum experiences. They will need experience in planning subject-area content for use in the routines and then using the routines with students.  </w:t>
      </w:r>
      <w:r w:rsidR="00181A40" w:rsidRPr="00181A40">
        <w:rPr>
          <w:b/>
          <w:bCs/>
        </w:rPr>
        <w:t xml:space="preserve"> </w:t>
      </w:r>
    </w:p>
    <w:p w14:paraId="342E3A9D" w14:textId="6C8B60E4" w:rsidR="001531FC" w:rsidRPr="000B5D65" w:rsidRDefault="001531FC" w:rsidP="00810D04">
      <w:pPr>
        <w:widowControl w:val="0"/>
        <w:spacing w:line="480" w:lineRule="auto"/>
        <w:rPr>
          <w:b/>
        </w:rPr>
      </w:pPr>
      <w:r w:rsidRPr="000B5D65">
        <w:rPr>
          <w:b/>
        </w:rPr>
        <w:t>Moving Forward on the Research to Practice Journey</w:t>
      </w:r>
    </w:p>
    <w:p w14:paraId="3E2812C0" w14:textId="6146FA80" w:rsidR="001B532E" w:rsidRDefault="00E77EB2" w:rsidP="00810D04">
      <w:pPr>
        <w:widowControl w:val="0"/>
        <w:spacing w:line="480" w:lineRule="auto"/>
        <w:ind w:firstLine="720"/>
        <w:rPr>
          <w:b/>
          <w:bCs/>
        </w:rPr>
      </w:pPr>
      <w:r>
        <w:t>Because of their strengths and because of the similarities between the study conditions and today’s schools, the</w:t>
      </w:r>
      <w:r w:rsidR="001531FC" w:rsidRPr="000B5D65">
        <w:t xml:space="preserve"> studies reviewed here on individual Content Enhancement </w:t>
      </w:r>
      <w:r w:rsidR="00B0504D">
        <w:t>R</w:t>
      </w:r>
      <w:r w:rsidR="001531FC" w:rsidRPr="000B5D65">
        <w:t xml:space="preserve">outines represent a group of studies that not only show that each routine has value in inclusive classes, but that the group of studies as a whole has value in terms of producing positive effects for subgroups of students enrolled in those classes. </w:t>
      </w:r>
      <w:r w:rsidR="0018706C" w:rsidRPr="000B5D65">
        <w:t xml:space="preserve">For most researchers, the </w:t>
      </w:r>
      <w:r w:rsidR="001531FC" w:rsidRPr="000B5D65">
        <w:t xml:space="preserve">research-to-practice </w:t>
      </w:r>
      <w:r w:rsidR="0018706C" w:rsidRPr="000B5D65">
        <w:t>journey often stops here; they develop</w:t>
      </w:r>
      <w:r w:rsidR="00E16132" w:rsidRPr="000B5D65">
        <w:t xml:space="preserve"> and validate the effects of</w:t>
      </w:r>
      <w:r w:rsidR="0018706C" w:rsidRPr="000B5D65">
        <w:t xml:space="preserve"> an innovative </w:t>
      </w:r>
      <w:r w:rsidR="001B532E">
        <w:t>instructional program,</w:t>
      </w:r>
      <w:r w:rsidR="0054502D" w:rsidRPr="000B5D65">
        <w:t xml:space="preserve"> celebrate,</w:t>
      </w:r>
      <w:r w:rsidR="0018706C" w:rsidRPr="000B5D65">
        <w:t xml:space="preserve"> and move on to some other</w:t>
      </w:r>
      <w:r w:rsidR="00F16068" w:rsidRPr="000B5D65">
        <w:t xml:space="preserve"> frontier</w:t>
      </w:r>
      <w:r w:rsidR="00E01EC2" w:rsidRPr="000B5D65">
        <w:t>. Not surprisingly,</w:t>
      </w:r>
      <w:r w:rsidR="0018706C" w:rsidRPr="000B5D65">
        <w:t xml:space="preserve"> once </w:t>
      </w:r>
      <w:r w:rsidR="00F16068" w:rsidRPr="000B5D65">
        <w:t>the Content Enhancement R</w:t>
      </w:r>
      <w:r w:rsidR="0018706C" w:rsidRPr="000B5D65">
        <w:t>ou</w:t>
      </w:r>
      <w:r w:rsidR="00F16068" w:rsidRPr="000B5D65">
        <w:t xml:space="preserve">tines were shown to </w:t>
      </w:r>
      <w:r w:rsidR="001B532E">
        <w:t>produce</w:t>
      </w:r>
      <w:r w:rsidR="00F16068" w:rsidRPr="000B5D65">
        <w:t xml:space="preserve"> positive</w:t>
      </w:r>
      <w:r w:rsidR="001B532E">
        <w:t xml:space="preserve"> effects in terms of student performance</w:t>
      </w:r>
      <w:r w:rsidR="00E16132" w:rsidRPr="000B5D65">
        <w:t>,</w:t>
      </w:r>
      <w:r w:rsidR="00F16068" w:rsidRPr="000B5D65">
        <w:t xml:space="preserve"> and</w:t>
      </w:r>
      <w:r w:rsidR="0018706C" w:rsidRPr="000B5D65">
        <w:t xml:space="preserve"> </w:t>
      </w:r>
      <w:r w:rsidR="001B532E">
        <w:t xml:space="preserve">validation </w:t>
      </w:r>
      <w:r w:rsidR="00F16068" w:rsidRPr="000B5D65">
        <w:t>studies</w:t>
      </w:r>
      <w:r w:rsidR="001B532E">
        <w:t xml:space="preserve"> about individual routines</w:t>
      </w:r>
      <w:r w:rsidR="00F16068" w:rsidRPr="000B5D65">
        <w:t xml:space="preserve"> were published, </w:t>
      </w:r>
      <w:r w:rsidR="0018706C" w:rsidRPr="000B5D65">
        <w:t>educators started to ask the developers</w:t>
      </w:r>
      <w:r w:rsidR="00F16068" w:rsidRPr="000B5D65">
        <w:t xml:space="preserve"> </w:t>
      </w:r>
      <w:r w:rsidR="0018706C" w:rsidRPr="000B5D65">
        <w:t xml:space="preserve">to provide training to teachers across the country. </w:t>
      </w:r>
      <w:r w:rsidR="001531FC" w:rsidRPr="000B5D65">
        <w:t xml:space="preserve">The researchers wanted to ensure </w:t>
      </w:r>
      <w:r w:rsidR="001531FC" w:rsidRPr="000B5D65">
        <w:lastRenderedPageBreak/>
        <w:t>that the training that they provided to teachers resulted in high</w:t>
      </w:r>
      <w:r w:rsidR="00B0504D">
        <w:t>-</w:t>
      </w:r>
      <w:r w:rsidR="001531FC" w:rsidRPr="000B5D65">
        <w:t xml:space="preserve">quality implementation as well as positive student outcomes that were similar to the outcomes reviewed here. </w:t>
      </w:r>
      <w:r w:rsidR="0018706C" w:rsidRPr="000B5D65">
        <w:t>As a result, the developers continued the</w:t>
      </w:r>
      <w:r w:rsidR="00F16068" w:rsidRPr="000B5D65">
        <w:t xml:space="preserve"> research-to-practice</w:t>
      </w:r>
      <w:r w:rsidR="0018706C" w:rsidRPr="000B5D65">
        <w:t xml:space="preserve"> journey</w:t>
      </w:r>
      <w:r w:rsidR="00906618">
        <w:t xml:space="preserve"> by </w:t>
      </w:r>
      <w:r w:rsidR="00906618" w:rsidRPr="00906618">
        <w:rPr>
          <w:b/>
          <w:bCs/>
        </w:rPr>
        <w:t xml:space="preserve">focusing on professional development. </w:t>
      </w:r>
    </w:p>
    <w:p w14:paraId="7B04EC78" w14:textId="77863639" w:rsidR="001B532E" w:rsidRDefault="001B532E" w:rsidP="00810D04">
      <w:pPr>
        <w:widowControl w:val="0"/>
        <w:spacing w:line="480" w:lineRule="auto"/>
        <w:ind w:firstLine="720"/>
        <w:rPr>
          <w:b/>
          <w:bCs/>
        </w:rPr>
      </w:pPr>
      <w:r>
        <w:rPr>
          <w:b/>
          <w:bCs/>
        </w:rPr>
        <w:t xml:space="preserve">Just as shown in Figure 1, they developed materials and methods for providing </w:t>
      </w:r>
      <w:r w:rsidR="008832A1">
        <w:rPr>
          <w:b/>
          <w:bCs/>
        </w:rPr>
        <w:t xml:space="preserve">classroom materials and </w:t>
      </w:r>
      <w:r>
        <w:rPr>
          <w:b/>
          <w:bCs/>
        </w:rPr>
        <w:t>professional development</w:t>
      </w:r>
      <w:r w:rsidR="005C56DC">
        <w:rPr>
          <w:b/>
          <w:bCs/>
        </w:rPr>
        <w:t xml:space="preserve"> sessions</w:t>
      </w:r>
      <w:r>
        <w:rPr>
          <w:b/>
          <w:bCs/>
        </w:rPr>
        <w:t xml:space="preserve"> </w:t>
      </w:r>
      <w:r w:rsidR="008832A1">
        <w:rPr>
          <w:b/>
          <w:bCs/>
        </w:rPr>
        <w:t>for</w:t>
      </w:r>
      <w:r>
        <w:rPr>
          <w:b/>
          <w:bCs/>
        </w:rPr>
        <w:t xml:space="preserve"> teachers. For example, after meeting with teachers and asking what features and formats they liked in instructor’s manuals, they created an instructor’s manual for each routine. They created training materials, including visual aids, PowerPoint presentations, workshop agendas, training guides, and workshop activities to be used </w:t>
      </w:r>
      <w:r w:rsidR="005C56DC">
        <w:rPr>
          <w:b/>
          <w:bCs/>
        </w:rPr>
        <w:t xml:space="preserve">for each session </w:t>
      </w:r>
      <w:r>
        <w:rPr>
          <w:b/>
          <w:bCs/>
        </w:rPr>
        <w:t xml:space="preserve">with teachers. They tested out these materials themselves in workshops that they delivered live, and they gathered feedback. They then revised the materials as indicated by the workshop participants. </w:t>
      </w:r>
    </w:p>
    <w:p w14:paraId="6C787798" w14:textId="1ECBED76" w:rsidR="001B532E" w:rsidRDefault="001B532E" w:rsidP="00810D04">
      <w:pPr>
        <w:widowControl w:val="0"/>
        <w:spacing w:line="480" w:lineRule="auto"/>
        <w:ind w:firstLine="720"/>
        <w:rPr>
          <w:b/>
          <w:bCs/>
        </w:rPr>
      </w:pPr>
      <w:r>
        <w:rPr>
          <w:b/>
          <w:bCs/>
        </w:rPr>
        <w:t xml:space="preserve">When the task of providing workshops for the nation’s schools became unwieldy, they wrote additional grants to provide instruction to professionals at teacher-training institutions and in state departments of education, school districts, and state agencies to provide their own workshops using the refined materials. In turn, these professionals not only provided workshops to individuals in their states, they also provided additional feedback to the developers, and additional refinements were made in the materials as indicated. In other words, the cyclical nature of the interaction at this point in the research-to-practice process </w:t>
      </w:r>
      <w:r w:rsidR="008832A1">
        <w:rPr>
          <w:b/>
          <w:bCs/>
        </w:rPr>
        <w:t>evolved</w:t>
      </w:r>
      <w:r>
        <w:rPr>
          <w:b/>
          <w:bCs/>
        </w:rPr>
        <w:t xml:space="preserve"> and continues to involve a continuous process of give and take between the field of education and the original researchers/developers of the </w:t>
      </w:r>
      <w:r w:rsidR="008832A1">
        <w:rPr>
          <w:b/>
          <w:bCs/>
        </w:rPr>
        <w:t>routines</w:t>
      </w:r>
      <w:r>
        <w:rPr>
          <w:b/>
          <w:bCs/>
        </w:rPr>
        <w:t>.</w:t>
      </w:r>
    </w:p>
    <w:p w14:paraId="63F64D0F" w14:textId="52C3AEC1" w:rsidR="001B532E" w:rsidRDefault="001B532E" w:rsidP="00810D04">
      <w:pPr>
        <w:widowControl w:val="0"/>
        <w:spacing w:line="480" w:lineRule="auto"/>
        <w:rPr>
          <w:b/>
          <w:bCs/>
        </w:rPr>
      </w:pPr>
      <w:r>
        <w:rPr>
          <w:b/>
          <w:bCs/>
        </w:rPr>
        <w:t>Lessons Learned</w:t>
      </w:r>
    </w:p>
    <w:p w14:paraId="41F97E16" w14:textId="5590A773" w:rsidR="0076465E" w:rsidRPr="00906618" w:rsidRDefault="001B532E" w:rsidP="00810D04">
      <w:pPr>
        <w:widowControl w:val="0"/>
        <w:spacing w:line="480" w:lineRule="auto"/>
        <w:ind w:firstLine="720"/>
        <w:rPr>
          <w:b/>
          <w:bCs/>
        </w:rPr>
      </w:pPr>
      <w:r>
        <w:rPr>
          <w:b/>
          <w:bCs/>
        </w:rPr>
        <w:t>Many, many lessons were learned on this</w:t>
      </w:r>
      <w:r w:rsidR="00AA28F9">
        <w:rPr>
          <w:b/>
          <w:bCs/>
        </w:rPr>
        <w:t xml:space="preserve"> 35-year</w:t>
      </w:r>
      <w:r>
        <w:rPr>
          <w:b/>
          <w:bCs/>
        </w:rPr>
        <w:t xml:space="preserve"> journey. At the center of the research-to-practice process, the research</w:t>
      </w:r>
      <w:r w:rsidR="00AA28F9">
        <w:rPr>
          <w:b/>
          <w:bCs/>
        </w:rPr>
        <w:t xml:space="preserve"> team</w:t>
      </w:r>
      <w:r>
        <w:rPr>
          <w:b/>
          <w:bCs/>
        </w:rPr>
        <w:t xml:space="preserve"> learned that </w:t>
      </w:r>
      <w:r w:rsidR="005C56DC">
        <w:rPr>
          <w:b/>
          <w:bCs/>
        </w:rPr>
        <w:t xml:space="preserve">the effort had to be sustained </w:t>
      </w:r>
      <w:r w:rsidR="005C56DC">
        <w:rPr>
          <w:b/>
          <w:bCs/>
        </w:rPr>
        <w:lastRenderedPageBreak/>
        <w:t xml:space="preserve">across many years. As a result, funding had to be obtained over and over. This necessitated grant proposals to be tailored to the goals of granting agencies while maintaining a central focus on instructional methods for inclusive general education courses. Funding had to be obtained not only for the validation research but for creating the professional development sessions. Additionally, </w:t>
      </w:r>
      <w:r>
        <w:rPr>
          <w:b/>
          <w:bCs/>
        </w:rPr>
        <w:t xml:space="preserve">for all of these methods and materials to be constantly available to the nation, a staff was required to produce and disseminate them along with newsletters and websites. At the level of the professional developers, an organization had to be formed and maintained to certify </w:t>
      </w:r>
      <w:r w:rsidR="005C56DC">
        <w:rPr>
          <w:b/>
          <w:bCs/>
        </w:rPr>
        <w:t>individuals</w:t>
      </w:r>
      <w:r>
        <w:rPr>
          <w:b/>
          <w:bCs/>
        </w:rPr>
        <w:t xml:space="preserve"> and provide them with new information and update conferences. Now that the organization has been in place for many years, </w:t>
      </w:r>
      <w:r w:rsidR="00AA28F9">
        <w:rPr>
          <w:b/>
          <w:bCs/>
        </w:rPr>
        <w:t xml:space="preserve">turnover is occurring; the </w:t>
      </w:r>
      <w:r>
        <w:rPr>
          <w:b/>
          <w:bCs/>
        </w:rPr>
        <w:t>professional developers and professors are retiring and no longer providing workshops</w:t>
      </w:r>
      <w:r w:rsidR="00AA28F9">
        <w:rPr>
          <w:b/>
          <w:bCs/>
        </w:rPr>
        <w:t xml:space="preserve"> and teaching courses</w:t>
      </w:r>
      <w:r>
        <w:rPr>
          <w:b/>
          <w:bCs/>
        </w:rPr>
        <w:t xml:space="preserve">. </w:t>
      </w:r>
      <w:r w:rsidR="00AA28F9">
        <w:rPr>
          <w:b/>
          <w:bCs/>
        </w:rPr>
        <w:t xml:space="preserve">Thus, new </w:t>
      </w:r>
      <w:r w:rsidR="00704A97">
        <w:rPr>
          <w:b/>
          <w:bCs/>
        </w:rPr>
        <w:t>professional developers</w:t>
      </w:r>
      <w:r w:rsidR="00AA28F9">
        <w:rPr>
          <w:b/>
          <w:bCs/>
        </w:rPr>
        <w:t xml:space="preserve"> must be recruited and maintained. </w:t>
      </w:r>
      <w:r>
        <w:rPr>
          <w:b/>
          <w:bCs/>
        </w:rPr>
        <w:t xml:space="preserve">At the </w:t>
      </w:r>
      <w:r w:rsidR="00AA28F9">
        <w:rPr>
          <w:b/>
          <w:bCs/>
        </w:rPr>
        <w:t>district and s</w:t>
      </w:r>
      <w:r>
        <w:rPr>
          <w:b/>
          <w:bCs/>
        </w:rPr>
        <w:t>chool level, the researchers learned that teacher turnover is great, so even though the staff of a school has learned to use new methods, within a few years many of the teachers will have moved to other schools</w:t>
      </w:r>
      <w:r w:rsidR="00AA28F9">
        <w:rPr>
          <w:b/>
          <w:bCs/>
        </w:rPr>
        <w:t>,</w:t>
      </w:r>
      <w:r>
        <w:rPr>
          <w:b/>
          <w:bCs/>
        </w:rPr>
        <w:t xml:space="preserve"> moved up the ladder to become administrators, or </w:t>
      </w:r>
      <w:r w:rsidR="005C56DC">
        <w:rPr>
          <w:b/>
          <w:bCs/>
        </w:rPr>
        <w:t>departed</w:t>
      </w:r>
      <w:r>
        <w:rPr>
          <w:b/>
          <w:bCs/>
        </w:rPr>
        <w:t xml:space="preserve"> teaching altogether. </w:t>
      </w:r>
      <w:r w:rsidR="00AA28F9">
        <w:rPr>
          <w:b/>
          <w:bCs/>
        </w:rPr>
        <w:t xml:space="preserve">Administrators who make the original adoption decisions also move on. </w:t>
      </w:r>
      <w:r>
        <w:rPr>
          <w:b/>
          <w:bCs/>
        </w:rPr>
        <w:t>Schools often do not have the funds to provide additional instruction to their new teach</w:t>
      </w:r>
      <w:r w:rsidR="00AA28F9">
        <w:rPr>
          <w:b/>
          <w:bCs/>
        </w:rPr>
        <w:t>e</w:t>
      </w:r>
      <w:r>
        <w:rPr>
          <w:b/>
          <w:bCs/>
        </w:rPr>
        <w:t>rs or even to provide initial instruction. At the state level, state in</w:t>
      </w:r>
      <w:r w:rsidR="00704A97">
        <w:rPr>
          <w:b/>
          <w:bCs/>
        </w:rPr>
        <w:t>i</w:t>
      </w:r>
      <w:r>
        <w:rPr>
          <w:b/>
          <w:bCs/>
        </w:rPr>
        <w:t xml:space="preserve">tiatives </w:t>
      </w:r>
      <w:r w:rsidR="00AA28F9">
        <w:rPr>
          <w:b/>
          <w:bCs/>
        </w:rPr>
        <w:t xml:space="preserve">and state technical assistance agencies have been born and died, </w:t>
      </w:r>
      <w:r>
        <w:rPr>
          <w:b/>
          <w:bCs/>
        </w:rPr>
        <w:t>and key leaders have retired.</w:t>
      </w:r>
      <w:r w:rsidR="00AA28F9">
        <w:rPr>
          <w:b/>
          <w:bCs/>
        </w:rPr>
        <w:t xml:space="preserve"> In other words, maintaining a national professional development operation requires ongoing effort and nurturing.  As a result, the research team began to consider alternatives to live professional development. </w:t>
      </w:r>
      <w:r w:rsidR="00906618" w:rsidRPr="00906618">
        <w:rPr>
          <w:b/>
          <w:bCs/>
        </w:rPr>
        <w:t>The remainder of their journey to date</w:t>
      </w:r>
      <w:r w:rsidR="0018706C" w:rsidRPr="00906618">
        <w:rPr>
          <w:b/>
          <w:bCs/>
        </w:rPr>
        <w:t xml:space="preserve"> </w:t>
      </w:r>
      <w:r w:rsidR="00906618" w:rsidRPr="00906618">
        <w:rPr>
          <w:b/>
          <w:bCs/>
        </w:rPr>
        <w:t xml:space="preserve">is </w:t>
      </w:r>
      <w:r w:rsidR="0018706C" w:rsidRPr="00906618">
        <w:rPr>
          <w:b/>
          <w:bCs/>
        </w:rPr>
        <w:t>described</w:t>
      </w:r>
      <w:r w:rsidR="00680A06" w:rsidRPr="00906618">
        <w:rPr>
          <w:b/>
          <w:bCs/>
        </w:rPr>
        <w:t xml:space="preserve"> </w:t>
      </w:r>
      <w:r w:rsidR="00906618" w:rsidRPr="00906618">
        <w:rPr>
          <w:b/>
          <w:bCs/>
        </w:rPr>
        <w:t>in the next article in this issue</w:t>
      </w:r>
      <w:r w:rsidR="001622B5" w:rsidRPr="00906618">
        <w:rPr>
          <w:b/>
          <w:bCs/>
        </w:rPr>
        <w:t xml:space="preserve"> (</w:t>
      </w:r>
      <w:r w:rsidR="00906618" w:rsidRPr="00906618">
        <w:rPr>
          <w:b/>
          <w:bCs/>
        </w:rPr>
        <w:t>see Fisher &amp; Schumaker</w:t>
      </w:r>
      <w:r w:rsidR="005C56DC">
        <w:rPr>
          <w:b/>
          <w:bCs/>
        </w:rPr>
        <w:t xml:space="preserve"> [under review]</w:t>
      </w:r>
      <w:r w:rsidR="00AA28F9">
        <w:rPr>
          <w:b/>
          <w:bCs/>
        </w:rPr>
        <w:t xml:space="preserve"> for Part II of this article</w:t>
      </w:r>
      <w:r w:rsidR="001622B5" w:rsidRPr="00906618">
        <w:rPr>
          <w:b/>
          <w:bCs/>
        </w:rPr>
        <w:t>)</w:t>
      </w:r>
      <w:r w:rsidR="00A3145E" w:rsidRPr="00906618">
        <w:rPr>
          <w:b/>
          <w:bCs/>
        </w:rPr>
        <w:t>.</w:t>
      </w:r>
      <w:r w:rsidR="009E1CCB" w:rsidRPr="00906618">
        <w:rPr>
          <w:b/>
          <w:bCs/>
        </w:rPr>
        <w:t xml:space="preserve"> </w:t>
      </w:r>
      <w:r w:rsidR="00A3145E" w:rsidRPr="00906618">
        <w:rPr>
          <w:b/>
          <w:bCs/>
        </w:rPr>
        <w:t xml:space="preserve">  </w:t>
      </w:r>
    </w:p>
    <w:p w14:paraId="3F491A02" w14:textId="72779112" w:rsidR="0017736B" w:rsidRDefault="0017736B" w:rsidP="00810D04">
      <w:pPr>
        <w:widowControl w:val="0"/>
        <w:spacing w:line="480" w:lineRule="auto"/>
      </w:pPr>
      <w:r>
        <w:br w:type="page"/>
      </w:r>
    </w:p>
    <w:p w14:paraId="6F500B41" w14:textId="6CCCA5F6" w:rsidR="00F53ECF" w:rsidRPr="00F96556" w:rsidRDefault="00F53ECF" w:rsidP="00810D04">
      <w:pPr>
        <w:widowControl w:val="0"/>
        <w:autoSpaceDE w:val="0"/>
        <w:autoSpaceDN w:val="0"/>
        <w:adjustRightInd w:val="0"/>
        <w:spacing w:line="480" w:lineRule="auto"/>
        <w:jc w:val="center"/>
        <w:rPr>
          <w:b/>
        </w:rPr>
      </w:pPr>
      <w:r w:rsidRPr="00F96556">
        <w:rPr>
          <w:b/>
        </w:rPr>
        <w:lastRenderedPageBreak/>
        <w:t>References</w:t>
      </w:r>
    </w:p>
    <w:p w14:paraId="5FD2C875" w14:textId="79B35B7E" w:rsidR="00F53ECF" w:rsidRPr="00F96556" w:rsidRDefault="00F53ECF" w:rsidP="00810D04">
      <w:pPr>
        <w:widowControl w:val="0"/>
        <w:autoSpaceDE w:val="0"/>
        <w:autoSpaceDN w:val="0"/>
        <w:adjustRightInd w:val="0"/>
        <w:spacing w:line="480" w:lineRule="auto"/>
        <w:ind w:left="720" w:hanging="720"/>
      </w:pPr>
      <w:r w:rsidRPr="00F96556">
        <w:t xml:space="preserve">Alley, G. R., &amp; Deshler, D. D. (1979). </w:t>
      </w:r>
      <w:r w:rsidRPr="00F96556">
        <w:rPr>
          <w:i/>
        </w:rPr>
        <w:t xml:space="preserve">Teaching the </w:t>
      </w:r>
      <w:proofErr w:type="gramStart"/>
      <w:r w:rsidRPr="00F96556">
        <w:rPr>
          <w:i/>
        </w:rPr>
        <w:t>learning disabled</w:t>
      </w:r>
      <w:proofErr w:type="gramEnd"/>
      <w:r w:rsidRPr="00F96556">
        <w:rPr>
          <w:i/>
        </w:rPr>
        <w:t xml:space="preserve"> adolescent: Strategies and methods.</w:t>
      </w:r>
      <w:r w:rsidRPr="00F96556">
        <w:t xml:space="preserve"> Love Publishing Co.</w:t>
      </w:r>
    </w:p>
    <w:p w14:paraId="70C9D76C" w14:textId="7089E3A3" w:rsidR="007613DE" w:rsidRPr="00F96556" w:rsidRDefault="007613DE" w:rsidP="00810D04">
      <w:pPr>
        <w:widowControl w:val="0"/>
        <w:autoSpaceDE w:val="0"/>
        <w:autoSpaceDN w:val="0"/>
        <w:adjustRightInd w:val="0"/>
        <w:spacing w:line="480" w:lineRule="auto"/>
        <w:ind w:left="720" w:hanging="720"/>
        <w:rPr>
          <w:color w:val="333333"/>
          <w:shd w:val="clear" w:color="auto" w:fill="FFFFFF"/>
        </w:rPr>
      </w:pPr>
      <w:proofErr w:type="spellStart"/>
      <w:r w:rsidRPr="00F96556">
        <w:rPr>
          <w:lang w:eastAsia="ja-JP"/>
        </w:rPr>
        <w:t>Bernardi</w:t>
      </w:r>
      <w:proofErr w:type="spellEnd"/>
      <w:r w:rsidRPr="00F96556">
        <w:rPr>
          <w:lang w:eastAsia="ja-JP"/>
        </w:rPr>
        <w:t xml:space="preserve">, F., </w:t>
      </w:r>
      <w:proofErr w:type="spellStart"/>
      <w:r w:rsidRPr="00F96556">
        <w:rPr>
          <w:lang w:eastAsia="ja-JP"/>
        </w:rPr>
        <w:t>Chakhaia</w:t>
      </w:r>
      <w:proofErr w:type="spellEnd"/>
      <w:r w:rsidRPr="00F96556">
        <w:rPr>
          <w:lang w:eastAsia="ja-JP"/>
        </w:rPr>
        <w:t xml:space="preserve">, L., &amp; Leopold, L. (2017). ‘Sing me a song with social significance’: The (mis)use of statistical significance testing in European sociological research. </w:t>
      </w:r>
      <w:r w:rsidRPr="00F96556">
        <w:rPr>
          <w:i/>
          <w:iCs/>
          <w:lang w:eastAsia="ja-JP"/>
        </w:rPr>
        <w:t>European Sociological Review, 33</w:t>
      </w:r>
      <w:r w:rsidRPr="00F96556">
        <w:rPr>
          <w:lang w:eastAsia="ja-JP"/>
        </w:rPr>
        <w:t xml:space="preserve">(1), 1-15. </w:t>
      </w:r>
      <w:hyperlink r:id="rId8" w:history="1">
        <w:r w:rsidR="004D3E2D" w:rsidRPr="00F96556">
          <w:rPr>
            <w:rStyle w:val="Hyperlink"/>
            <w:shd w:val="clear" w:color="auto" w:fill="FFFFFF"/>
          </w:rPr>
          <w:t>https://doi-org.ezproxy.gvsu.edu/10.1093/esr/jcw047</w:t>
        </w:r>
      </w:hyperlink>
    </w:p>
    <w:p w14:paraId="34717028" w14:textId="7EE874A9" w:rsidR="00241CFD" w:rsidRPr="00F96556" w:rsidRDefault="00F53ECF" w:rsidP="00810D04">
      <w:pPr>
        <w:widowControl w:val="0"/>
        <w:tabs>
          <w:tab w:val="left" w:pos="450"/>
          <w:tab w:val="left" w:pos="2520"/>
          <w:tab w:val="left" w:pos="3960"/>
          <w:tab w:val="decimal" w:pos="6840"/>
          <w:tab w:val="decimal" w:pos="9000"/>
        </w:tabs>
        <w:spacing w:line="480" w:lineRule="auto"/>
        <w:ind w:left="720" w:hanging="720"/>
        <w:rPr>
          <w:u w:val="single"/>
        </w:rPr>
      </w:pPr>
      <w:proofErr w:type="spellStart"/>
      <w:r w:rsidRPr="00F96556">
        <w:t>Bulgren</w:t>
      </w:r>
      <w:proofErr w:type="spellEnd"/>
      <w:r w:rsidRPr="00F96556">
        <w:t xml:space="preserve">, J. A., Deshler, D. D., Schumaker, J. B. &amp; Lenz, B.K. (2000). The use and effectiveness of analogical instruction in diverse secondary content classrooms. </w:t>
      </w:r>
      <w:r w:rsidRPr="00F96556">
        <w:rPr>
          <w:i/>
        </w:rPr>
        <w:t>Journal of Educational Psychology, 92</w:t>
      </w:r>
      <w:r w:rsidRPr="00F96556">
        <w:t xml:space="preserve">(3), 426-441. </w:t>
      </w:r>
      <w:hyperlink r:id="rId9" w:history="1">
        <w:r w:rsidRPr="00F96556">
          <w:rPr>
            <w:rStyle w:val="Hyperlink"/>
            <w:color w:val="auto"/>
          </w:rPr>
          <w:t>http://doi.org/10.1037/0022-0663.92.3.426</w:t>
        </w:r>
      </w:hyperlink>
    </w:p>
    <w:p w14:paraId="5CA054C9" w14:textId="77777777" w:rsidR="00F53ECF" w:rsidRPr="00F96556" w:rsidRDefault="00F53ECF" w:rsidP="00810D04">
      <w:pPr>
        <w:widowControl w:val="0"/>
        <w:tabs>
          <w:tab w:val="left" w:pos="450"/>
          <w:tab w:val="left" w:pos="2520"/>
          <w:tab w:val="left" w:pos="3960"/>
          <w:tab w:val="decimal" w:pos="6840"/>
          <w:tab w:val="decimal" w:pos="9000"/>
        </w:tabs>
        <w:spacing w:line="480" w:lineRule="auto"/>
        <w:ind w:left="720" w:hanging="720"/>
      </w:pPr>
      <w:proofErr w:type="spellStart"/>
      <w:r w:rsidRPr="00F96556">
        <w:t>Bulgren</w:t>
      </w:r>
      <w:proofErr w:type="spellEnd"/>
      <w:r w:rsidRPr="00F96556">
        <w:t xml:space="preserve">, J. A., Lenz, B. K., Deshler, D. D., &amp; Schumaker, J. B. (1995). </w:t>
      </w:r>
      <w:r w:rsidRPr="00F96556">
        <w:rPr>
          <w:i/>
        </w:rPr>
        <w:t>The Concept Comparison Routine: Instructor’s manual.</w:t>
      </w:r>
      <w:r w:rsidRPr="00F96556">
        <w:t xml:space="preserve"> Edge Enterprises.</w:t>
      </w:r>
    </w:p>
    <w:p w14:paraId="0DE19A4F" w14:textId="77777777" w:rsidR="00F53ECF" w:rsidRPr="00F96556" w:rsidRDefault="00F53ECF" w:rsidP="00810D04">
      <w:pPr>
        <w:widowControl w:val="0"/>
        <w:tabs>
          <w:tab w:val="left" w:pos="450"/>
          <w:tab w:val="left" w:pos="2520"/>
          <w:tab w:val="left" w:pos="3960"/>
          <w:tab w:val="decimal" w:pos="6840"/>
          <w:tab w:val="decimal" w:pos="9000"/>
        </w:tabs>
        <w:spacing w:line="480" w:lineRule="auto"/>
        <w:ind w:left="720" w:hanging="720"/>
      </w:pPr>
      <w:proofErr w:type="spellStart"/>
      <w:r w:rsidRPr="00F96556">
        <w:t>Bulgren</w:t>
      </w:r>
      <w:proofErr w:type="spellEnd"/>
      <w:r w:rsidRPr="00F96556">
        <w:t xml:space="preserve">, J. A., Lenz, B. K., Deshler, D. D., &amp; Schumaker, J. B. (2001). </w:t>
      </w:r>
      <w:r w:rsidRPr="00F96556">
        <w:rPr>
          <w:i/>
        </w:rPr>
        <w:t>The Question Exploration Routine: Instructor’s manual.</w:t>
      </w:r>
      <w:r w:rsidRPr="00F96556">
        <w:t xml:space="preserve"> Edge Enterprises, Inc. </w:t>
      </w:r>
    </w:p>
    <w:p w14:paraId="7BB7DC2A" w14:textId="57862301" w:rsidR="004D3E2D" w:rsidRPr="00F96556" w:rsidRDefault="00F53ECF" w:rsidP="00810D04">
      <w:pPr>
        <w:widowControl w:val="0"/>
        <w:tabs>
          <w:tab w:val="decimal" w:pos="9000"/>
        </w:tabs>
        <w:spacing w:line="480" w:lineRule="auto"/>
        <w:ind w:left="720" w:hanging="720"/>
        <w:rPr>
          <w:iCs/>
          <w:u w:val="single"/>
        </w:rPr>
      </w:pPr>
      <w:proofErr w:type="spellStart"/>
      <w:r w:rsidRPr="00F96556">
        <w:t>Bulgren</w:t>
      </w:r>
      <w:proofErr w:type="spellEnd"/>
      <w:r w:rsidRPr="00F96556">
        <w:t xml:space="preserve">, J.A., Marquis, J.G., Deshler, D.D., Lenz, B.K., &amp; Schumaker, J.B. (2013). The use and effectiveness of a question exploration routine in secondary-level English language arts classrooms. </w:t>
      </w:r>
      <w:r w:rsidRPr="00F96556">
        <w:rPr>
          <w:i/>
          <w:iCs/>
        </w:rPr>
        <w:t>Learning Disabilities Research and Practice, 28</w:t>
      </w:r>
      <w:r w:rsidRPr="00F96556">
        <w:t>(4), 156-169</w:t>
      </w:r>
      <w:r w:rsidRPr="00F96556">
        <w:rPr>
          <w:i/>
          <w:iCs/>
        </w:rPr>
        <w:t xml:space="preserve">. </w:t>
      </w:r>
      <w:hyperlink r:id="rId10" w:history="1">
        <w:r w:rsidRPr="00F96556">
          <w:rPr>
            <w:rStyle w:val="Hyperlink"/>
            <w:iCs/>
            <w:color w:val="auto"/>
          </w:rPr>
          <w:t>http://dx.doi.org/10.1111/ldrp.12018</w:t>
        </w:r>
      </w:hyperlink>
    </w:p>
    <w:p w14:paraId="734A90A3" w14:textId="77777777" w:rsidR="00F53ECF" w:rsidRPr="00F96556" w:rsidRDefault="00F53ECF" w:rsidP="00810D04">
      <w:pPr>
        <w:widowControl w:val="0"/>
        <w:tabs>
          <w:tab w:val="decimal" w:pos="9000"/>
        </w:tabs>
        <w:spacing w:line="480" w:lineRule="auto"/>
        <w:ind w:left="720" w:hanging="720"/>
      </w:pPr>
      <w:proofErr w:type="spellStart"/>
      <w:r w:rsidRPr="00F96556">
        <w:t>Bulgren</w:t>
      </w:r>
      <w:proofErr w:type="spellEnd"/>
      <w:r w:rsidRPr="00F96556">
        <w:t>, J. A., Marquis, J. G., Lenz, B. K., Deshler, D. D., Schumaker, J. B. (2011). The effectiveness of the Question-Exploration Routine for enhancing the content learning of secondary students. </w:t>
      </w:r>
      <w:r w:rsidRPr="00F96556">
        <w:rPr>
          <w:i/>
          <w:iCs/>
        </w:rPr>
        <w:t>Journal of Educational Psychology</w:t>
      </w:r>
      <w:r w:rsidRPr="00F96556">
        <w:rPr>
          <w:iCs/>
        </w:rPr>
        <w:t xml:space="preserve">, </w:t>
      </w:r>
      <w:r w:rsidRPr="00F96556">
        <w:rPr>
          <w:i/>
          <w:iCs/>
        </w:rPr>
        <w:t>103</w:t>
      </w:r>
      <w:r w:rsidRPr="00F96556">
        <w:rPr>
          <w:iCs/>
        </w:rPr>
        <w:t>(3), 578-593</w:t>
      </w:r>
      <w:r w:rsidRPr="00F96556">
        <w:t xml:space="preserve">. </w:t>
      </w:r>
      <w:hyperlink r:id="rId11" w:history="1">
        <w:r w:rsidRPr="00F96556">
          <w:rPr>
            <w:rStyle w:val="Hyperlink"/>
            <w:color w:val="auto"/>
          </w:rPr>
          <w:t>http://dx.doi.org/10.1037/a0023930</w:t>
        </w:r>
      </w:hyperlink>
    </w:p>
    <w:p w14:paraId="0E9BAB96" w14:textId="0536001B" w:rsidR="00F53ECF" w:rsidRPr="00F96556" w:rsidRDefault="00F53ECF" w:rsidP="00810D04">
      <w:pPr>
        <w:widowControl w:val="0"/>
        <w:tabs>
          <w:tab w:val="decimal" w:pos="9000"/>
        </w:tabs>
        <w:spacing w:line="480" w:lineRule="auto"/>
        <w:ind w:left="720" w:hanging="720"/>
      </w:pPr>
      <w:proofErr w:type="spellStart"/>
      <w:r w:rsidRPr="00F96556">
        <w:t>Bulgren</w:t>
      </w:r>
      <w:proofErr w:type="spellEnd"/>
      <w:r w:rsidRPr="00F96556">
        <w:t>, J. A., Marquis, J. G., Lenz, B. K., Schumaker, J. B., &amp; Deshler, D. D. (2009). Effectiveness of question exploration to enhance student</w:t>
      </w:r>
      <w:r w:rsidR="00D04079" w:rsidRPr="00F96556">
        <w:t>s’</w:t>
      </w:r>
      <w:r w:rsidRPr="00F96556">
        <w:t xml:space="preserve"> written expression of content knowledge and comprehension.  </w:t>
      </w:r>
      <w:r w:rsidRPr="00F96556">
        <w:rPr>
          <w:i/>
        </w:rPr>
        <w:t>Reading &amp; Writing Quarterly</w:t>
      </w:r>
      <w:r w:rsidRPr="00F96556">
        <w:t xml:space="preserve">, </w:t>
      </w:r>
      <w:r w:rsidRPr="00F96556">
        <w:rPr>
          <w:i/>
        </w:rPr>
        <w:t>25</w:t>
      </w:r>
      <w:r w:rsidRPr="00F96556">
        <w:t>, 1 – 19.</w:t>
      </w:r>
      <w:r w:rsidR="00810D04" w:rsidRPr="00F96556">
        <w:t xml:space="preserve"> </w:t>
      </w:r>
      <w:hyperlink r:id="rId12" w:history="1">
        <w:r w:rsidR="00810D04" w:rsidRPr="00F96556">
          <w:rPr>
            <w:rStyle w:val="Hyperlink"/>
          </w:rPr>
          <w:t>https://doi.org/10.1080/10573560903120813</w:t>
        </w:r>
      </w:hyperlink>
    </w:p>
    <w:p w14:paraId="05126267" w14:textId="77777777" w:rsidR="00F53ECF" w:rsidRPr="00F96556" w:rsidRDefault="00F53ECF" w:rsidP="00810D04">
      <w:pPr>
        <w:widowControl w:val="0"/>
        <w:tabs>
          <w:tab w:val="decimal" w:pos="9000"/>
        </w:tabs>
        <w:spacing w:line="480" w:lineRule="auto"/>
        <w:ind w:left="720" w:hanging="720"/>
      </w:pPr>
      <w:proofErr w:type="spellStart"/>
      <w:r w:rsidRPr="00F96556">
        <w:t>Bulgren</w:t>
      </w:r>
      <w:proofErr w:type="spellEnd"/>
      <w:r w:rsidRPr="00F96556">
        <w:t xml:space="preserve">, J., Schumaker, J. B., &amp; Deshler, D. D. (1988). Effectiveness of a concept teaching routine in enhancing the performance of LD students in secondary-level mainstream classes. </w:t>
      </w:r>
      <w:r w:rsidRPr="00F96556">
        <w:rPr>
          <w:i/>
        </w:rPr>
        <w:t>Learning Disability Quarterly, 11</w:t>
      </w:r>
      <w:r w:rsidRPr="00F96556">
        <w:t xml:space="preserve">(1), 3-17. </w:t>
      </w:r>
      <w:hyperlink r:id="rId13" w:history="1">
        <w:r w:rsidRPr="00F96556">
          <w:rPr>
            <w:rStyle w:val="Hyperlink"/>
            <w:color w:val="auto"/>
          </w:rPr>
          <w:t>http://doi.org/10.2307/1511034</w:t>
        </w:r>
      </w:hyperlink>
    </w:p>
    <w:p w14:paraId="2D55B2C8" w14:textId="77777777" w:rsidR="00F53ECF" w:rsidRPr="00F96556" w:rsidRDefault="00F53ECF" w:rsidP="00810D04">
      <w:pPr>
        <w:widowControl w:val="0"/>
        <w:tabs>
          <w:tab w:val="decimal" w:pos="9000"/>
        </w:tabs>
        <w:spacing w:line="480" w:lineRule="auto"/>
        <w:ind w:left="720" w:hanging="720"/>
      </w:pPr>
      <w:proofErr w:type="spellStart"/>
      <w:r w:rsidRPr="00F96556">
        <w:t>Bulgren</w:t>
      </w:r>
      <w:proofErr w:type="spellEnd"/>
      <w:r w:rsidRPr="00F96556">
        <w:t xml:space="preserve">, J. A., Schumaker, J. B., &amp; Deshler, D. D. (1993). </w:t>
      </w:r>
      <w:r w:rsidRPr="00F96556">
        <w:rPr>
          <w:i/>
        </w:rPr>
        <w:t>The Concept Mastery Routine: Instructor’s manual.</w:t>
      </w:r>
      <w:r w:rsidRPr="00F96556">
        <w:t xml:space="preserve"> Edge Enterprises, Inc. </w:t>
      </w:r>
    </w:p>
    <w:p w14:paraId="4BB86052" w14:textId="77777777" w:rsidR="00F53ECF" w:rsidRPr="00F96556" w:rsidRDefault="00F53ECF" w:rsidP="00810D04">
      <w:pPr>
        <w:widowControl w:val="0"/>
        <w:tabs>
          <w:tab w:val="decimal" w:pos="9000"/>
        </w:tabs>
        <w:spacing w:line="480" w:lineRule="auto"/>
        <w:ind w:left="720" w:hanging="720"/>
      </w:pPr>
      <w:proofErr w:type="spellStart"/>
      <w:r w:rsidRPr="00F96556">
        <w:t>Bulgren</w:t>
      </w:r>
      <w:proofErr w:type="spellEnd"/>
      <w:r w:rsidRPr="00F96556">
        <w:t xml:space="preserve">, J. A., Schumaker, J. B., &amp; Deshler, D. D. (1994). </w:t>
      </w:r>
      <w:r w:rsidRPr="00F96556">
        <w:rPr>
          <w:i/>
        </w:rPr>
        <w:t>The Concept Anchoring Routine: Instructor’s manual.</w:t>
      </w:r>
      <w:r w:rsidRPr="00F96556">
        <w:t xml:space="preserve"> Edge Enterprises, Inc. </w:t>
      </w:r>
    </w:p>
    <w:p w14:paraId="7B54166F" w14:textId="358C846D" w:rsidR="00F53ECF" w:rsidRPr="00F96556" w:rsidRDefault="00F53ECF" w:rsidP="00810D04">
      <w:pPr>
        <w:widowControl w:val="0"/>
        <w:tabs>
          <w:tab w:val="left" w:pos="-360"/>
          <w:tab w:val="left" w:pos="8640"/>
        </w:tabs>
        <w:spacing w:line="480" w:lineRule="auto"/>
        <w:ind w:left="720" w:hanging="720"/>
        <w:rPr>
          <w:rStyle w:val="Hyperlink"/>
          <w:color w:val="auto"/>
        </w:rPr>
      </w:pPr>
      <w:proofErr w:type="spellStart"/>
      <w:r w:rsidRPr="00F96556">
        <w:t>Bulgren</w:t>
      </w:r>
      <w:proofErr w:type="spellEnd"/>
      <w:r w:rsidRPr="00F96556">
        <w:t xml:space="preserve">, J. A., Schumaker, J. B., Deshler, D. D., Lenz, B. K. &amp; Marquis, J. (2002). The use and effectiveness of a comparison routine in diverse secondary content classes.  </w:t>
      </w:r>
      <w:r w:rsidRPr="00F96556">
        <w:rPr>
          <w:i/>
        </w:rPr>
        <w:t>Journal of Educational Psychology, 94</w:t>
      </w:r>
      <w:r w:rsidRPr="00F96556">
        <w:t xml:space="preserve">(2), 357-371. </w:t>
      </w:r>
      <w:hyperlink r:id="rId14" w:history="1">
        <w:r w:rsidRPr="00F96556">
          <w:rPr>
            <w:rStyle w:val="Hyperlink"/>
            <w:color w:val="auto"/>
          </w:rPr>
          <w:t>http://doi.org//10.1037/0022-0663.94.2.356</w:t>
        </w:r>
      </w:hyperlink>
    </w:p>
    <w:p w14:paraId="0E53F30B" w14:textId="2CA0E291" w:rsidR="007613DE" w:rsidRPr="00F96556" w:rsidRDefault="007613DE" w:rsidP="00810D04">
      <w:pPr>
        <w:widowControl w:val="0"/>
        <w:tabs>
          <w:tab w:val="left" w:pos="-360"/>
          <w:tab w:val="left" w:pos="8640"/>
        </w:tabs>
        <w:spacing w:line="480" w:lineRule="auto"/>
        <w:ind w:left="720" w:hanging="720"/>
      </w:pPr>
      <w:r w:rsidRPr="00F96556">
        <w:t xml:space="preserve">Carlberg, C., &amp; </w:t>
      </w:r>
      <w:proofErr w:type="spellStart"/>
      <w:r w:rsidRPr="00F96556">
        <w:t>Kavale</w:t>
      </w:r>
      <w:proofErr w:type="spellEnd"/>
      <w:r w:rsidRPr="00F96556">
        <w:t xml:space="preserve">, K. (1980). Efficacy of special verse regular class placement for exceptional children: A meta-analysis. </w:t>
      </w:r>
      <w:r w:rsidRPr="00F96556">
        <w:rPr>
          <w:i/>
          <w:iCs/>
        </w:rPr>
        <w:t>Journal of Special Education, 14</w:t>
      </w:r>
      <w:r w:rsidRPr="00F96556">
        <w:t xml:space="preserve">, 295-309. </w:t>
      </w:r>
      <w:r w:rsidRPr="00F96556">
        <w:rPr>
          <w:shd w:val="clear" w:color="auto" w:fill="FFFFFF"/>
        </w:rPr>
        <w:t>https://doi.org/10.1177/002246698001400304</w:t>
      </w:r>
    </w:p>
    <w:p w14:paraId="6AC12276" w14:textId="611E9DE8" w:rsidR="007613DE" w:rsidRPr="00F96556" w:rsidRDefault="007613DE" w:rsidP="00810D04">
      <w:pPr>
        <w:widowControl w:val="0"/>
        <w:spacing w:line="480" w:lineRule="auto"/>
        <w:ind w:left="720" w:hanging="720"/>
        <w:rPr>
          <w:highlight w:val="yellow"/>
          <w:lang w:eastAsia="ja-JP"/>
        </w:rPr>
      </w:pPr>
      <w:r w:rsidRPr="00F96556">
        <w:rPr>
          <w:lang w:eastAsia="ja-JP"/>
        </w:rPr>
        <w:t xml:space="preserve">Cook, B. G., Cook, L., &amp; Landrum, T. J. (2013). Moving research into practice: Can we make dissemination stick? </w:t>
      </w:r>
      <w:r w:rsidRPr="00F96556">
        <w:rPr>
          <w:i/>
          <w:iCs/>
          <w:lang w:eastAsia="ja-JP"/>
        </w:rPr>
        <w:t>Exceptional Children, 79</w:t>
      </w:r>
      <w:r w:rsidRPr="00F96556">
        <w:rPr>
          <w:lang w:eastAsia="ja-JP"/>
        </w:rPr>
        <w:t xml:space="preserve">(2), 163-180. </w:t>
      </w:r>
      <w:r w:rsidRPr="00F96556">
        <w:rPr>
          <w:color w:val="000000" w:themeColor="text1"/>
          <w:shd w:val="clear" w:color="auto" w:fill="FFFFFF"/>
        </w:rPr>
        <w:t>https://doi.org/10.1177/001440291307900203</w:t>
      </w:r>
    </w:p>
    <w:p w14:paraId="2AA215EB" w14:textId="4E7E45C0" w:rsidR="00F53ECF" w:rsidRPr="00F96556" w:rsidRDefault="00F53ECF" w:rsidP="00810D04">
      <w:pPr>
        <w:widowControl w:val="0"/>
        <w:tabs>
          <w:tab w:val="left" w:pos="-360"/>
          <w:tab w:val="left" w:pos="8640"/>
        </w:tabs>
        <w:spacing w:line="480" w:lineRule="auto"/>
        <w:ind w:left="720" w:hanging="720"/>
      </w:pPr>
      <w:r w:rsidRPr="00F96556">
        <w:t xml:space="preserve">Darling-Hammond, L., </w:t>
      </w:r>
      <w:proofErr w:type="spellStart"/>
      <w:r w:rsidRPr="00F96556">
        <w:t>Hyler</w:t>
      </w:r>
      <w:proofErr w:type="spellEnd"/>
      <w:r w:rsidRPr="00F96556">
        <w:t xml:space="preserve">, M. E., &amp; Gardner, M. (2017). </w:t>
      </w:r>
      <w:r w:rsidRPr="00F96556">
        <w:rPr>
          <w:i/>
          <w:iCs/>
        </w:rPr>
        <w:t xml:space="preserve">Effective teacher professional development. </w:t>
      </w:r>
      <w:r w:rsidRPr="00F96556">
        <w:t xml:space="preserve">Learning Policy Institute. </w:t>
      </w:r>
      <w:hyperlink r:id="rId15" w:history="1">
        <w:r w:rsidRPr="00F96556">
          <w:rPr>
            <w:rStyle w:val="Hyperlink"/>
            <w:color w:val="auto"/>
          </w:rPr>
          <w:t>https://learningpolicyinstitute.org/product/teacher-prof-dev</w:t>
        </w:r>
      </w:hyperlink>
    </w:p>
    <w:p w14:paraId="272F9883" w14:textId="3243609E" w:rsidR="00F53ECF" w:rsidRPr="00F96556" w:rsidRDefault="00B3334F" w:rsidP="00810D04">
      <w:pPr>
        <w:widowControl w:val="0"/>
        <w:spacing w:line="480" w:lineRule="auto"/>
        <w:ind w:left="720" w:hanging="720"/>
      </w:pPr>
      <w:r w:rsidRPr="00F96556">
        <w:t>Deshler, D. D., &amp; Schumaker, J. B.</w:t>
      </w:r>
      <w:r w:rsidR="00F53ECF" w:rsidRPr="00F96556">
        <w:t xml:space="preserve"> (198</w:t>
      </w:r>
      <w:r w:rsidR="00544E54" w:rsidRPr="00F96556">
        <w:t>4</w:t>
      </w:r>
      <w:r w:rsidR="00F53ECF" w:rsidRPr="00F96556">
        <w:t xml:space="preserve">). </w:t>
      </w:r>
      <w:r w:rsidR="00F53ECF" w:rsidRPr="00F96556">
        <w:rPr>
          <w:i/>
        </w:rPr>
        <w:t xml:space="preserve">The development and validation of teaching routines for enhancing the performance of </w:t>
      </w:r>
      <w:r w:rsidR="00544E54" w:rsidRPr="00F96556">
        <w:rPr>
          <w:i/>
        </w:rPr>
        <w:t xml:space="preserve">low-achieving students </w:t>
      </w:r>
      <w:r w:rsidR="00F53ECF" w:rsidRPr="00F96556">
        <w:rPr>
          <w:i/>
        </w:rPr>
        <w:t>in mainstream c</w:t>
      </w:r>
      <w:r w:rsidR="00544E54" w:rsidRPr="00F96556">
        <w:rPr>
          <w:i/>
        </w:rPr>
        <w:t>ourse</w:t>
      </w:r>
      <w:r w:rsidR="00F53ECF" w:rsidRPr="00F96556">
        <w:rPr>
          <w:i/>
        </w:rPr>
        <w:t>s</w:t>
      </w:r>
      <w:r w:rsidR="00F53ECF" w:rsidRPr="00F96556">
        <w:t xml:space="preserve">. </w:t>
      </w:r>
      <w:r w:rsidR="00544E54" w:rsidRPr="00F96556">
        <w:t>Office of Special Education Programs, U. S. Department of Education.</w:t>
      </w:r>
    </w:p>
    <w:p w14:paraId="73D720BE" w14:textId="1CF451DE" w:rsidR="007613DE" w:rsidRPr="00F96556" w:rsidRDefault="00602463" w:rsidP="00810D04">
      <w:pPr>
        <w:widowControl w:val="0"/>
        <w:spacing w:line="480" w:lineRule="auto"/>
        <w:ind w:left="720" w:hanging="720"/>
      </w:pPr>
      <w:r w:rsidRPr="00F96556">
        <w:t xml:space="preserve">Deshler, D. D., &amp; Schumaker, J. B. (1986). Learning strategies: An instructional alternative for </w:t>
      </w:r>
      <w:r w:rsidRPr="00F96556">
        <w:lastRenderedPageBreak/>
        <w:t xml:space="preserve">low-achieving adolescents. </w:t>
      </w:r>
      <w:r w:rsidRPr="00F96556">
        <w:rPr>
          <w:i/>
        </w:rPr>
        <w:t>Exceptional Children, 52</w:t>
      </w:r>
      <w:r w:rsidRPr="00F96556">
        <w:t xml:space="preserve">(6), 583-590. </w:t>
      </w:r>
      <w:hyperlink r:id="rId16" w:history="1">
        <w:r w:rsidR="000428EB" w:rsidRPr="00F96556">
          <w:rPr>
            <w:rStyle w:val="Hyperlink"/>
          </w:rPr>
          <w:t>https://doi.org/10.1177/0014/40298605200611</w:t>
        </w:r>
      </w:hyperlink>
    </w:p>
    <w:p w14:paraId="1B3B2EA7" w14:textId="3514F075" w:rsidR="00602463" w:rsidRPr="00F96556" w:rsidRDefault="00602463" w:rsidP="00810D04">
      <w:pPr>
        <w:widowControl w:val="0"/>
        <w:spacing w:line="480" w:lineRule="auto"/>
        <w:ind w:left="360" w:hanging="360"/>
      </w:pPr>
      <w:r w:rsidRPr="00F96556">
        <w:t xml:space="preserve">Deshler, D. D., &amp; Schumaker, J. B. (1988). An instructional model for teaching students how to learn. In J. L. </w:t>
      </w:r>
      <w:proofErr w:type="spellStart"/>
      <w:r w:rsidRPr="00F96556">
        <w:t>Graden</w:t>
      </w:r>
      <w:proofErr w:type="spellEnd"/>
      <w:r w:rsidRPr="00F96556">
        <w:t xml:space="preserve">, J. E. Zins, and M. J. Curtis (Eds.), </w:t>
      </w:r>
      <w:r w:rsidRPr="00F96556">
        <w:rPr>
          <w:i/>
        </w:rPr>
        <w:t>Alternative educational delivery systems: Enhancing instructional options for all students</w:t>
      </w:r>
      <w:r w:rsidRPr="00F96556">
        <w:t xml:space="preserve"> (pp. 391-411). The National Association of School Psychologists.</w:t>
      </w:r>
    </w:p>
    <w:p w14:paraId="4C50FD83" w14:textId="15144FC3" w:rsidR="003E7F16" w:rsidRPr="00F96556" w:rsidRDefault="00B3334F" w:rsidP="00810D04">
      <w:pPr>
        <w:widowControl w:val="0"/>
        <w:spacing w:line="480" w:lineRule="auto"/>
        <w:ind w:left="720" w:hanging="720"/>
      </w:pPr>
      <w:r w:rsidRPr="00F96556">
        <w:t>Deshler, D. D.</w:t>
      </w:r>
      <w:r w:rsidR="00371127" w:rsidRPr="00F96556">
        <w:t>,</w:t>
      </w:r>
      <w:r w:rsidRPr="00F96556">
        <w:t xml:space="preserve"> &amp; Schumaker, J. B.</w:t>
      </w:r>
      <w:r w:rsidR="003E7F16" w:rsidRPr="00F96556">
        <w:t xml:space="preserve"> (199</w:t>
      </w:r>
      <w:r w:rsidR="00371127" w:rsidRPr="00F96556">
        <w:t>1</w:t>
      </w:r>
      <w:r w:rsidR="003E7F16" w:rsidRPr="00F96556">
        <w:t xml:space="preserve">). </w:t>
      </w:r>
      <w:r w:rsidR="003E7F16" w:rsidRPr="00F96556">
        <w:rPr>
          <w:i/>
        </w:rPr>
        <w:t>A model to train secondary teachers in content planning and teaching routines for use in regular classroom settings that are sensitive to the needs of students with mild disabilities.</w:t>
      </w:r>
      <w:r w:rsidR="003E7F16" w:rsidRPr="00F96556">
        <w:t xml:space="preserve"> Office of Special Education Programs, U. S. Department of Education</w:t>
      </w:r>
      <w:r w:rsidR="004067AC" w:rsidRPr="00F96556">
        <w:t>.</w:t>
      </w:r>
    </w:p>
    <w:p w14:paraId="2CBEBF08" w14:textId="4744BB0A" w:rsidR="00371127" w:rsidRPr="00F96556" w:rsidRDefault="00371127" w:rsidP="00810D04">
      <w:pPr>
        <w:widowControl w:val="0"/>
        <w:spacing w:line="480" w:lineRule="auto"/>
        <w:ind w:left="720" w:hanging="720"/>
      </w:pPr>
      <w:r w:rsidRPr="00F96556">
        <w:t xml:space="preserve">Deshler, D. D., &amp; Schumaker, J. B. (1993). </w:t>
      </w:r>
      <w:r w:rsidRPr="00F96556">
        <w:rPr>
          <w:i/>
        </w:rPr>
        <w:t>Disseminating the content enhancement program: An instructional approach for promoting successful inclusion.</w:t>
      </w:r>
      <w:r w:rsidRPr="00F96556">
        <w:t xml:space="preserve"> National Center for Learning Disabilities. </w:t>
      </w:r>
    </w:p>
    <w:p w14:paraId="36F946CA" w14:textId="48887C04" w:rsidR="00B3334F" w:rsidRPr="00F96556" w:rsidRDefault="00B3334F" w:rsidP="00810D04">
      <w:pPr>
        <w:widowControl w:val="0"/>
        <w:spacing w:line="480" w:lineRule="auto"/>
        <w:ind w:left="720" w:hanging="720"/>
      </w:pPr>
      <w:r w:rsidRPr="00F96556">
        <w:t>Deshler, D. D., &amp; Schumaker, J. B.</w:t>
      </w:r>
      <w:r w:rsidR="00233912" w:rsidRPr="00F96556">
        <w:t xml:space="preserve"> (199</w:t>
      </w:r>
      <w:r w:rsidR="00371127" w:rsidRPr="00F96556">
        <w:t>4</w:t>
      </w:r>
      <w:r w:rsidR="00233912" w:rsidRPr="00F96556">
        <w:t xml:space="preserve">). </w:t>
      </w:r>
      <w:r w:rsidR="00233912" w:rsidRPr="00F96556">
        <w:rPr>
          <w:i/>
        </w:rPr>
        <w:t>Performance enhancement routines for use in inclusive content classrooms.</w:t>
      </w:r>
      <w:r w:rsidR="003E7F16" w:rsidRPr="00F96556">
        <w:t xml:space="preserve"> Office of S</w:t>
      </w:r>
      <w:r w:rsidR="00233912" w:rsidRPr="00F96556">
        <w:t>pecial Education Programs, U.S. Department of Education.</w:t>
      </w:r>
    </w:p>
    <w:p w14:paraId="4A95648A" w14:textId="70D82B48" w:rsidR="00233912" w:rsidRPr="00F96556" w:rsidRDefault="00B3334F" w:rsidP="00810D04">
      <w:pPr>
        <w:widowControl w:val="0"/>
        <w:tabs>
          <w:tab w:val="left" w:pos="450"/>
          <w:tab w:val="left" w:pos="2520"/>
          <w:tab w:val="left" w:pos="3960"/>
          <w:tab w:val="decimal" w:pos="6840"/>
          <w:tab w:val="decimal" w:pos="9000"/>
        </w:tabs>
        <w:spacing w:line="480" w:lineRule="auto"/>
        <w:ind w:left="720" w:hanging="720"/>
      </w:pPr>
      <w:r w:rsidRPr="00F96556">
        <w:t xml:space="preserve">Deshler, D. D., Schumaker, J. B., </w:t>
      </w:r>
      <w:proofErr w:type="spellStart"/>
      <w:r w:rsidRPr="00F96556">
        <w:t>Bulgren</w:t>
      </w:r>
      <w:proofErr w:type="spellEnd"/>
      <w:r w:rsidRPr="00F96556">
        <w:t xml:space="preserve">, J. A., Lenz, B. K., </w:t>
      </w:r>
      <w:r w:rsidR="00ED03F4" w:rsidRPr="00F96556">
        <w:t xml:space="preserve">Jantzen, J., Adams, G., </w:t>
      </w:r>
      <w:proofErr w:type="spellStart"/>
      <w:r w:rsidRPr="00F96556">
        <w:t>Carnine</w:t>
      </w:r>
      <w:proofErr w:type="spellEnd"/>
      <w:r w:rsidRPr="00F96556">
        <w:t xml:space="preserve">, D., </w:t>
      </w:r>
      <w:proofErr w:type="spellStart"/>
      <w:r w:rsidRPr="00F96556">
        <w:t>Grossen</w:t>
      </w:r>
      <w:proofErr w:type="spellEnd"/>
      <w:r w:rsidRPr="00F96556">
        <w:t xml:space="preserve">, B., </w:t>
      </w:r>
      <w:r w:rsidR="00ED03F4" w:rsidRPr="00F96556">
        <w:t>Davis, B, &amp; Marquis, J.</w:t>
      </w:r>
      <w:r w:rsidRPr="00F96556">
        <w:t xml:space="preserve"> (200</w:t>
      </w:r>
      <w:r w:rsidR="00ED03F4" w:rsidRPr="00F96556">
        <w:t>1</w:t>
      </w:r>
      <w:r w:rsidRPr="00F96556">
        <w:t xml:space="preserve">). </w:t>
      </w:r>
      <w:r w:rsidR="00ED03F4" w:rsidRPr="00F96556">
        <w:t xml:space="preserve">Making learning easier: Connecting new knowledge to things students already know. </w:t>
      </w:r>
      <w:r w:rsidR="00062F66" w:rsidRPr="00F96556">
        <w:t xml:space="preserve"> </w:t>
      </w:r>
      <w:r w:rsidRPr="00F96556">
        <w:rPr>
          <w:i/>
        </w:rPr>
        <w:t>Teaching Exceptional Children</w:t>
      </w:r>
      <w:r w:rsidR="00ED03F4" w:rsidRPr="00F96556">
        <w:t xml:space="preserve">, </w:t>
      </w:r>
      <w:r w:rsidR="00ED03F4" w:rsidRPr="00F96556">
        <w:rPr>
          <w:i/>
          <w:iCs/>
        </w:rPr>
        <w:t>33</w:t>
      </w:r>
      <w:r w:rsidR="00ED03F4" w:rsidRPr="00F96556">
        <w:t>(4), 82-85.</w:t>
      </w:r>
      <w:r w:rsidR="00400EAE" w:rsidRPr="00F96556">
        <w:t xml:space="preserve">  </w:t>
      </w:r>
      <w:hyperlink r:id="rId17" w:history="1">
        <w:r w:rsidR="004D3E2D" w:rsidRPr="00F96556">
          <w:rPr>
            <w:rStyle w:val="Hyperlink"/>
          </w:rPr>
          <w:t>https://doi.org/10.1177/004005990103300412</w:t>
        </w:r>
      </w:hyperlink>
    </w:p>
    <w:p w14:paraId="3BF1D038" w14:textId="1C918B44" w:rsidR="00371127" w:rsidRPr="00F96556" w:rsidRDefault="00371127" w:rsidP="00810D04">
      <w:pPr>
        <w:widowControl w:val="0"/>
        <w:tabs>
          <w:tab w:val="left" w:pos="450"/>
          <w:tab w:val="left" w:pos="2520"/>
          <w:tab w:val="left" w:pos="3960"/>
          <w:tab w:val="decimal" w:pos="6840"/>
          <w:tab w:val="decimal" w:pos="9000"/>
        </w:tabs>
        <w:spacing w:line="480" w:lineRule="auto"/>
        <w:ind w:left="720" w:hanging="720"/>
      </w:pPr>
      <w:r w:rsidRPr="00F96556">
        <w:t xml:space="preserve">Deshler, D. D., Schumaker, J. B., &amp; McKnight, P. C. (1984). </w:t>
      </w:r>
      <w:r w:rsidRPr="00F96556">
        <w:rPr>
          <w:i/>
          <w:iCs/>
        </w:rPr>
        <w:t>The development and validation of a set of teaching routines for enhancing the performance of low-achieving students in secondary mainstream courses.</w:t>
      </w:r>
      <w:r w:rsidRPr="00F96556">
        <w:t xml:space="preserve"> Office of Special Education Programs, U.S. Department of Education. </w:t>
      </w:r>
    </w:p>
    <w:p w14:paraId="39C675F1" w14:textId="77777777" w:rsidR="008F7BDA" w:rsidRPr="00F96556" w:rsidRDefault="008F7BDA" w:rsidP="00810D04">
      <w:pPr>
        <w:widowControl w:val="0"/>
        <w:tabs>
          <w:tab w:val="left" w:pos="450"/>
          <w:tab w:val="left" w:pos="2520"/>
          <w:tab w:val="left" w:pos="3960"/>
          <w:tab w:val="decimal" w:pos="6840"/>
          <w:tab w:val="decimal" w:pos="9000"/>
        </w:tabs>
        <w:spacing w:line="480" w:lineRule="auto"/>
        <w:ind w:left="720" w:hanging="720"/>
      </w:pPr>
      <w:r w:rsidRPr="00F96556">
        <w:lastRenderedPageBreak/>
        <w:t xml:space="preserve">Deshler, D. D., Schumaker, J. B., &amp; McKnight, P. C. (1997). </w:t>
      </w:r>
      <w:r w:rsidRPr="00F96556">
        <w:rPr>
          <w:i/>
          <w:iCs/>
        </w:rPr>
        <w:t>The Survey Routine: Instructor’s manual</w:t>
      </w:r>
      <w:r w:rsidRPr="00F96556">
        <w:t>. University of Kansas Center for Research on Learning.</w:t>
      </w:r>
    </w:p>
    <w:p w14:paraId="67FA9FA5" w14:textId="057432D8" w:rsidR="00F53ECF" w:rsidRPr="00F96556" w:rsidRDefault="00F53ECF" w:rsidP="00810D04">
      <w:pPr>
        <w:widowControl w:val="0"/>
        <w:tabs>
          <w:tab w:val="left" w:pos="450"/>
          <w:tab w:val="left" w:pos="630"/>
        </w:tabs>
        <w:spacing w:line="480" w:lineRule="auto"/>
        <w:ind w:left="720" w:hanging="720"/>
        <w:rPr>
          <w:rStyle w:val="Hyperlink"/>
          <w:color w:val="auto"/>
        </w:rPr>
      </w:pPr>
      <w:r w:rsidRPr="00F96556">
        <w:t xml:space="preserve">Desimone, L. M. (2009). Improving impact studies of teachers’ professional development: Toward better conceptualizations and measures. </w:t>
      </w:r>
      <w:r w:rsidRPr="00F96556">
        <w:rPr>
          <w:i/>
        </w:rPr>
        <w:t>Educational Researcher, 38</w:t>
      </w:r>
      <w:r w:rsidRPr="00F96556">
        <w:t xml:space="preserve">(3), 181-199. </w:t>
      </w:r>
      <w:hyperlink r:id="rId18" w:history="1">
        <w:r w:rsidRPr="00F96556">
          <w:rPr>
            <w:rStyle w:val="Hyperlink"/>
            <w:color w:val="auto"/>
          </w:rPr>
          <w:t>http://doi.org/10.3102/0013189X08331140</w:t>
        </w:r>
      </w:hyperlink>
    </w:p>
    <w:p w14:paraId="55CF2FCE" w14:textId="68CDA9CB" w:rsidR="00A06C78" w:rsidRPr="00F96556" w:rsidRDefault="00A06C78" w:rsidP="00810D04">
      <w:pPr>
        <w:widowControl w:val="0"/>
        <w:tabs>
          <w:tab w:val="left" w:pos="450"/>
          <w:tab w:val="left" w:pos="630"/>
        </w:tabs>
        <w:spacing w:line="480" w:lineRule="auto"/>
        <w:ind w:left="720" w:hanging="720"/>
      </w:pPr>
      <w:r w:rsidRPr="00F96556">
        <w:rPr>
          <w:rStyle w:val="Hyperlink"/>
          <w:color w:val="auto"/>
          <w:u w:val="none"/>
        </w:rPr>
        <w:t xml:space="preserve">Dexter, D., &amp; Hughes, C. A. (2011). Graphic organizers and students with learning disabilities: A meta-analysis. </w:t>
      </w:r>
      <w:r w:rsidRPr="00F96556">
        <w:rPr>
          <w:rStyle w:val="Hyperlink"/>
          <w:i/>
          <w:iCs/>
          <w:color w:val="auto"/>
          <w:u w:val="none"/>
        </w:rPr>
        <w:t>Learning Disability Quarterly</w:t>
      </w:r>
      <w:r w:rsidRPr="00F96556">
        <w:rPr>
          <w:rStyle w:val="Hyperlink"/>
          <w:color w:val="auto"/>
          <w:u w:val="none"/>
        </w:rPr>
        <w:t xml:space="preserve">, </w:t>
      </w:r>
      <w:r w:rsidRPr="00F96556">
        <w:rPr>
          <w:rStyle w:val="Hyperlink"/>
          <w:i/>
          <w:iCs/>
          <w:color w:val="auto"/>
          <w:u w:val="none"/>
        </w:rPr>
        <w:t>34</w:t>
      </w:r>
      <w:r w:rsidRPr="00F96556">
        <w:rPr>
          <w:rStyle w:val="Hyperlink"/>
          <w:color w:val="auto"/>
          <w:u w:val="none"/>
        </w:rPr>
        <w:t>(1), 51-72.</w:t>
      </w:r>
      <w:r w:rsidR="00AA3D84" w:rsidRPr="00F96556">
        <w:rPr>
          <w:rStyle w:val="Hyperlink"/>
          <w:color w:val="auto"/>
          <w:u w:val="none"/>
        </w:rPr>
        <w:t xml:space="preserve"> </w:t>
      </w:r>
      <w:hyperlink r:id="rId19" w:history="1">
        <w:r w:rsidR="00AA3D84" w:rsidRPr="00F96556">
          <w:rPr>
            <w:rStyle w:val="Hyperlink"/>
          </w:rPr>
          <w:t>https://doi.org/10.1177/073194871103400104</w:t>
        </w:r>
      </w:hyperlink>
    </w:p>
    <w:p w14:paraId="5C98711B" w14:textId="77777777" w:rsidR="00F53ECF" w:rsidRPr="00F96556" w:rsidRDefault="00F53ECF" w:rsidP="00810D04">
      <w:pPr>
        <w:widowControl w:val="0"/>
        <w:tabs>
          <w:tab w:val="left" w:pos="450"/>
          <w:tab w:val="left" w:pos="2520"/>
          <w:tab w:val="left" w:pos="3960"/>
          <w:tab w:val="decimal" w:pos="6840"/>
          <w:tab w:val="decimal" w:pos="9000"/>
        </w:tabs>
        <w:spacing w:line="480" w:lineRule="auto"/>
        <w:ind w:left="720" w:hanging="720"/>
      </w:pPr>
      <w:r w:rsidRPr="00F96556">
        <w:t xml:space="preserve">Ellis, E. S. (1998). </w:t>
      </w:r>
      <w:r w:rsidRPr="00F96556">
        <w:rPr>
          <w:i/>
        </w:rPr>
        <w:t>The Framing Routine: Instructor’s manual</w:t>
      </w:r>
      <w:r w:rsidRPr="00F96556">
        <w:t>. Edge Enterprises, Inc.</w:t>
      </w:r>
    </w:p>
    <w:p w14:paraId="5F37F737" w14:textId="26F2CF44" w:rsidR="00F53ECF" w:rsidRPr="00F96556" w:rsidRDefault="00F53ECF" w:rsidP="00810D04">
      <w:pPr>
        <w:widowControl w:val="0"/>
        <w:tabs>
          <w:tab w:val="left" w:pos="450"/>
          <w:tab w:val="left" w:pos="2520"/>
          <w:tab w:val="left" w:pos="3960"/>
          <w:tab w:val="decimal" w:pos="6840"/>
          <w:tab w:val="decimal" w:pos="9000"/>
        </w:tabs>
        <w:spacing w:line="480" w:lineRule="auto"/>
        <w:ind w:left="720" w:hanging="720"/>
      </w:pPr>
      <w:r w:rsidRPr="00F96556">
        <w:t xml:space="preserve">Ellis, E. S. (2001). </w:t>
      </w:r>
      <w:r w:rsidRPr="00F96556">
        <w:rPr>
          <w:i/>
        </w:rPr>
        <w:t xml:space="preserve">The Vocabulary </w:t>
      </w:r>
      <w:proofErr w:type="spellStart"/>
      <w:r w:rsidRPr="00F96556">
        <w:rPr>
          <w:i/>
        </w:rPr>
        <w:t>LINCing</w:t>
      </w:r>
      <w:proofErr w:type="spellEnd"/>
      <w:r w:rsidRPr="00F96556">
        <w:rPr>
          <w:i/>
        </w:rPr>
        <w:t xml:space="preserve"> Routine: Instructor’s manual</w:t>
      </w:r>
      <w:r w:rsidRPr="00F96556">
        <w:t>. Edge Enterprises, Inc.</w:t>
      </w:r>
    </w:p>
    <w:p w14:paraId="7A124C48" w14:textId="4EE54E1E" w:rsidR="00BF34D0" w:rsidRPr="00F96556" w:rsidRDefault="00B3334F" w:rsidP="00810D04">
      <w:pPr>
        <w:widowControl w:val="0"/>
        <w:tabs>
          <w:tab w:val="left" w:pos="360"/>
          <w:tab w:val="decimal" w:pos="9000"/>
        </w:tabs>
        <w:spacing w:line="480" w:lineRule="auto"/>
        <w:ind w:left="720" w:hanging="720"/>
        <w:rPr>
          <w:rStyle w:val="Hyperlink"/>
          <w:color w:val="auto"/>
          <w:u w:val="none"/>
          <w:shd w:val="clear" w:color="auto" w:fill="FFFFFF"/>
        </w:rPr>
      </w:pPr>
      <w:r w:rsidRPr="00F96556">
        <w:rPr>
          <w:rStyle w:val="Hyperlink"/>
          <w:color w:val="auto"/>
          <w:u w:val="none"/>
          <w:shd w:val="clear" w:color="auto" w:fill="FFFFFF"/>
        </w:rPr>
        <w:t xml:space="preserve">Fisher, J. B., &amp; Schumaker, J. B. (2021). 35 years on the road from research to practice: A review of studies on four content enhancement routines for inclusive subject-area classes, Part II. </w:t>
      </w:r>
      <w:r w:rsidR="00BF34D0" w:rsidRPr="00F96556">
        <w:rPr>
          <w:rStyle w:val="Hyperlink"/>
          <w:i/>
          <w:iCs/>
          <w:color w:val="auto"/>
          <w:u w:val="none"/>
          <w:shd w:val="clear" w:color="auto" w:fill="FFFFFF"/>
        </w:rPr>
        <w:t>Learning Disabilities Research &amp; Practice.</w:t>
      </w:r>
      <w:r w:rsidR="00BF34D0" w:rsidRPr="00F96556">
        <w:rPr>
          <w:rStyle w:val="Hyperlink"/>
          <w:color w:val="auto"/>
          <w:u w:val="none"/>
          <w:shd w:val="clear" w:color="auto" w:fill="FFFFFF"/>
        </w:rPr>
        <w:t xml:space="preserve"> </w:t>
      </w:r>
    </w:p>
    <w:p w14:paraId="75177872" w14:textId="77777777" w:rsidR="00E76381" w:rsidRPr="00F96556" w:rsidRDefault="00E76381" w:rsidP="00810D04">
      <w:pPr>
        <w:widowControl w:val="0"/>
        <w:tabs>
          <w:tab w:val="left" w:pos="360"/>
          <w:tab w:val="decimal" w:pos="9000"/>
        </w:tabs>
        <w:spacing w:line="480" w:lineRule="auto"/>
        <w:ind w:left="720" w:hanging="720"/>
        <w:rPr>
          <w:rStyle w:val="Hyperlink"/>
          <w:color w:val="auto"/>
          <w:shd w:val="clear" w:color="auto" w:fill="FFFFFF"/>
        </w:rPr>
      </w:pPr>
      <w:r w:rsidRPr="00F96556">
        <w:t xml:space="preserve">Fisher, J. B., Schumaker, J. B., Culbertson, J., &amp; Deshler, D. D. (2010). Effects of a computerized professional development program on teacher and student outcomes.  </w:t>
      </w:r>
      <w:r w:rsidRPr="00F96556">
        <w:rPr>
          <w:i/>
        </w:rPr>
        <w:t>Journal of Teacher Education</w:t>
      </w:r>
      <w:r w:rsidRPr="00F96556">
        <w:t xml:space="preserve">, </w:t>
      </w:r>
      <w:r w:rsidRPr="00F96556">
        <w:rPr>
          <w:i/>
        </w:rPr>
        <w:t>61</w:t>
      </w:r>
      <w:r w:rsidRPr="00F96556">
        <w:t xml:space="preserve">(4), 302-312. </w:t>
      </w:r>
      <w:hyperlink r:id="rId20" w:history="1">
        <w:r w:rsidRPr="00F96556">
          <w:rPr>
            <w:rStyle w:val="Hyperlink"/>
            <w:color w:val="auto"/>
          </w:rPr>
          <w:t>http://</w:t>
        </w:r>
        <w:r w:rsidRPr="00F96556">
          <w:rPr>
            <w:rStyle w:val="Hyperlink"/>
            <w:color w:val="auto"/>
            <w:shd w:val="clear" w:color="auto" w:fill="FFFFFF"/>
          </w:rPr>
          <w:t>doi.org/10.1177/0022487110369556</w:t>
        </w:r>
      </w:hyperlink>
    </w:p>
    <w:p w14:paraId="3D6439A1" w14:textId="71E2D8FA" w:rsidR="00BF34D0" w:rsidRPr="00F96556" w:rsidRDefault="00BF34D0" w:rsidP="00810D04">
      <w:pPr>
        <w:widowControl w:val="0"/>
        <w:spacing w:line="480" w:lineRule="auto"/>
        <w:ind w:left="720" w:hanging="720"/>
        <w:rPr>
          <w:rStyle w:val="Hyperlink"/>
          <w:color w:val="auto"/>
          <w:u w:val="none"/>
        </w:rPr>
      </w:pPr>
      <w:r w:rsidRPr="00F96556">
        <w:t>Gartner, A.</w:t>
      </w:r>
      <w:r w:rsidR="00544E54" w:rsidRPr="00F96556">
        <w:t>,</w:t>
      </w:r>
      <w:r w:rsidRPr="00F96556">
        <w:t xml:space="preserve"> &amp; Lipsky, D. K. (1987). Beyond special education: Toward a quality system for all students. </w:t>
      </w:r>
      <w:r w:rsidRPr="00F96556">
        <w:rPr>
          <w:i/>
          <w:iCs/>
        </w:rPr>
        <w:t>Harvard Educational Review, 57</w:t>
      </w:r>
      <w:r w:rsidRPr="00F96556">
        <w:t xml:space="preserve">(4), 367-395. </w:t>
      </w:r>
      <w:r w:rsidRPr="00F96556">
        <w:rPr>
          <w:shd w:val="clear" w:color="auto" w:fill="FFFFFF"/>
        </w:rPr>
        <w:t>https://doi.org/10.17763/haer.57.4.kj517305m7761218</w:t>
      </w:r>
    </w:p>
    <w:p w14:paraId="42B4CF28" w14:textId="5E30F46E" w:rsidR="00A40093" w:rsidRPr="00F96556" w:rsidRDefault="00A40093" w:rsidP="00810D04">
      <w:pPr>
        <w:widowControl w:val="0"/>
        <w:tabs>
          <w:tab w:val="left" w:pos="360"/>
          <w:tab w:val="decimal" w:pos="9000"/>
        </w:tabs>
        <w:spacing w:line="480" w:lineRule="auto"/>
        <w:ind w:left="720" w:hanging="720"/>
        <w:rPr>
          <w:rStyle w:val="Hyperlink"/>
          <w:color w:val="auto"/>
          <w:u w:val="none"/>
          <w:shd w:val="clear" w:color="auto" w:fill="FFFFFF"/>
        </w:rPr>
      </w:pPr>
      <w:r w:rsidRPr="00F96556">
        <w:rPr>
          <w:rStyle w:val="Hyperlink"/>
          <w:color w:val="auto"/>
          <w:u w:val="none"/>
          <w:shd w:val="clear" w:color="auto" w:fill="FFFFFF"/>
        </w:rPr>
        <w:t xml:space="preserve">Graham, S., &amp; </w:t>
      </w:r>
      <w:proofErr w:type="spellStart"/>
      <w:r w:rsidRPr="00F96556">
        <w:rPr>
          <w:rStyle w:val="Hyperlink"/>
          <w:color w:val="auto"/>
          <w:u w:val="none"/>
          <w:shd w:val="clear" w:color="auto" w:fill="FFFFFF"/>
        </w:rPr>
        <w:t>Perin</w:t>
      </w:r>
      <w:proofErr w:type="spellEnd"/>
      <w:r w:rsidRPr="00F96556">
        <w:rPr>
          <w:rStyle w:val="Hyperlink"/>
          <w:color w:val="auto"/>
          <w:u w:val="none"/>
          <w:shd w:val="clear" w:color="auto" w:fill="FFFFFF"/>
        </w:rPr>
        <w:t xml:space="preserve">, D. (2007). A meta-analysis of writing instruction for adolescent students. </w:t>
      </w:r>
      <w:r w:rsidRPr="00F96556">
        <w:rPr>
          <w:rStyle w:val="Hyperlink"/>
          <w:i/>
          <w:color w:val="auto"/>
          <w:u w:val="none"/>
          <w:shd w:val="clear" w:color="auto" w:fill="FFFFFF"/>
        </w:rPr>
        <w:t>Journal of Educational Psychology</w:t>
      </w:r>
      <w:r w:rsidRPr="00F96556">
        <w:rPr>
          <w:rStyle w:val="Hyperlink"/>
          <w:color w:val="auto"/>
          <w:u w:val="none"/>
          <w:shd w:val="clear" w:color="auto" w:fill="FFFFFF"/>
        </w:rPr>
        <w:t xml:space="preserve">, </w:t>
      </w:r>
      <w:r w:rsidRPr="00F96556">
        <w:rPr>
          <w:rStyle w:val="Hyperlink"/>
          <w:i/>
          <w:color w:val="auto"/>
          <w:u w:val="none"/>
          <w:shd w:val="clear" w:color="auto" w:fill="FFFFFF"/>
        </w:rPr>
        <w:t>99</w:t>
      </w:r>
      <w:r w:rsidRPr="00F96556">
        <w:rPr>
          <w:rStyle w:val="Hyperlink"/>
          <w:color w:val="auto"/>
          <w:u w:val="none"/>
          <w:shd w:val="clear" w:color="auto" w:fill="FFFFFF"/>
        </w:rPr>
        <w:t>(3), 445-476.</w:t>
      </w:r>
      <w:r w:rsidR="00400EAE" w:rsidRPr="00F96556">
        <w:rPr>
          <w:rStyle w:val="Hyperlink"/>
          <w:color w:val="auto"/>
          <w:u w:val="none"/>
          <w:shd w:val="clear" w:color="auto" w:fill="FFFFFF"/>
        </w:rPr>
        <w:t xml:space="preserve">  </w:t>
      </w:r>
      <w:hyperlink r:id="rId21" w:history="1">
        <w:r w:rsidR="004D3E2D" w:rsidRPr="00F96556">
          <w:rPr>
            <w:rStyle w:val="Hyperlink"/>
            <w:shd w:val="clear" w:color="auto" w:fill="FFFFFF"/>
          </w:rPr>
          <w:t>https://doi.org/10.1037/0022-0663.99.3.445</w:t>
        </w:r>
      </w:hyperlink>
    </w:p>
    <w:p w14:paraId="0D4E8240" w14:textId="17E78182" w:rsidR="004D3E2D" w:rsidRPr="00F96556" w:rsidRDefault="00F53ECF" w:rsidP="00810D04">
      <w:pPr>
        <w:widowControl w:val="0"/>
        <w:autoSpaceDE w:val="0"/>
        <w:autoSpaceDN w:val="0"/>
        <w:adjustRightInd w:val="0"/>
        <w:spacing w:line="480" w:lineRule="auto"/>
        <w:ind w:left="720" w:hanging="720"/>
        <w:rPr>
          <w:u w:val="single"/>
        </w:rPr>
      </w:pPr>
      <w:r w:rsidRPr="00F96556">
        <w:lastRenderedPageBreak/>
        <w:t xml:space="preserve">Hock, M. F., </w:t>
      </w:r>
      <w:proofErr w:type="spellStart"/>
      <w:r w:rsidRPr="00F96556">
        <w:t>Bulgren</w:t>
      </w:r>
      <w:proofErr w:type="spellEnd"/>
      <w:r w:rsidRPr="00F96556">
        <w:t xml:space="preserve">, J. A., &amp; Brasseur-Hock, I. F. (2017). The Strategic Instruction Model: The less addressed aspects of effective instruction for high school students with learning disabilities. </w:t>
      </w:r>
      <w:r w:rsidRPr="00F96556">
        <w:rPr>
          <w:i/>
        </w:rPr>
        <w:t>Learning Disabilities Research &amp; Practice</w:t>
      </w:r>
      <w:r w:rsidRPr="00F96556">
        <w:t xml:space="preserve">, 1 -14. </w:t>
      </w:r>
      <w:hyperlink r:id="rId22" w:history="1">
        <w:r w:rsidRPr="00F96556">
          <w:rPr>
            <w:rStyle w:val="Hyperlink"/>
            <w:color w:val="auto"/>
          </w:rPr>
          <w:t>https://doi.org:10.1111/ldrp.12139</w:t>
        </w:r>
      </w:hyperlink>
    </w:p>
    <w:p w14:paraId="77D7C536" w14:textId="53151738" w:rsidR="00F53ECF" w:rsidRPr="00F96556" w:rsidRDefault="00F53ECF" w:rsidP="00810D04">
      <w:pPr>
        <w:widowControl w:val="0"/>
        <w:autoSpaceDE w:val="0"/>
        <w:autoSpaceDN w:val="0"/>
        <w:adjustRightInd w:val="0"/>
        <w:spacing w:line="480" w:lineRule="auto"/>
        <w:ind w:left="720" w:hanging="720"/>
      </w:pPr>
      <w:r w:rsidRPr="00F96556">
        <w:t xml:space="preserve">Hock, M. F., Schumaker, J. B., &amp; Deshler, D. D. (1999). Closing the gap to success in secondary schools: A model for cognitive apprenticeship. In D. D. Deshler, J. B. Schumaker, K. R. Harris, &amp; S. Graham (Eds.), </w:t>
      </w:r>
      <w:r w:rsidRPr="00F96556">
        <w:rPr>
          <w:i/>
        </w:rPr>
        <w:t>Teaching every adolescent every day: Learning in diverse schools and classrooms</w:t>
      </w:r>
      <w:r w:rsidRPr="00F96556">
        <w:t xml:space="preserve">. Brookline Books. </w:t>
      </w:r>
    </w:p>
    <w:p w14:paraId="6B28A611" w14:textId="6A5844C1" w:rsidR="00F70CAF" w:rsidRPr="00F96556" w:rsidRDefault="00F70CAF" w:rsidP="00810D04">
      <w:pPr>
        <w:widowControl w:val="0"/>
        <w:autoSpaceDE w:val="0"/>
        <w:autoSpaceDN w:val="0"/>
        <w:adjustRightInd w:val="0"/>
        <w:spacing w:line="480" w:lineRule="auto"/>
        <w:ind w:left="720" w:hanging="720"/>
      </w:pPr>
      <w:r w:rsidRPr="00F96556">
        <w:t xml:space="preserve">Johnson, D. R., Thurlow, M., </w:t>
      </w:r>
      <w:proofErr w:type="spellStart"/>
      <w:r w:rsidRPr="00F96556">
        <w:t>Cosio</w:t>
      </w:r>
      <w:proofErr w:type="spellEnd"/>
      <w:r w:rsidRPr="00F96556">
        <w:t xml:space="preserve">, A., &amp; Bremer, C. (2005). High school graduation requirements and students with disabilities. </w:t>
      </w:r>
      <w:r w:rsidRPr="00F96556">
        <w:rPr>
          <w:i/>
          <w:iCs/>
        </w:rPr>
        <w:t>National Center on Secondary Education and Transition Information Brief</w:t>
      </w:r>
      <w:r w:rsidRPr="00F96556">
        <w:t xml:space="preserve">, </w:t>
      </w:r>
      <w:r w:rsidRPr="00F96556">
        <w:rPr>
          <w:i/>
          <w:iCs/>
        </w:rPr>
        <w:t>4</w:t>
      </w:r>
      <w:r w:rsidRPr="00F96556">
        <w:t>(2), 1-3</w:t>
      </w:r>
      <w:r w:rsidR="004D3E2D" w:rsidRPr="00F96556">
        <w:t xml:space="preserve">. </w:t>
      </w:r>
      <w:hyperlink r:id="rId23" w:history="1">
        <w:r w:rsidR="00DE686F" w:rsidRPr="00F96556">
          <w:rPr>
            <w:rStyle w:val="Hyperlink"/>
          </w:rPr>
          <w:t>https://doi.org/10.1177/0022219497030000604</w:t>
        </w:r>
      </w:hyperlink>
    </w:p>
    <w:p w14:paraId="2DC0A312" w14:textId="75BE4DAF" w:rsidR="00105068" w:rsidRPr="00F96556" w:rsidRDefault="00105068" w:rsidP="00810D04">
      <w:pPr>
        <w:widowControl w:val="0"/>
        <w:autoSpaceDE w:val="0"/>
        <w:autoSpaceDN w:val="0"/>
        <w:adjustRightInd w:val="0"/>
        <w:spacing w:line="480" w:lineRule="auto"/>
        <w:ind w:left="720" w:hanging="720"/>
      </w:pPr>
      <w:r w:rsidRPr="00F96556">
        <w:t xml:space="preserve">Kirkpatrick, J. D. &amp; Kirkpatrick, W. K. (2016). </w:t>
      </w:r>
      <w:r w:rsidRPr="00F96556">
        <w:rPr>
          <w:i/>
          <w:iCs/>
        </w:rPr>
        <w:t>Kirkpatrick’s four levels of training evaluation</w:t>
      </w:r>
      <w:r w:rsidRPr="00F96556">
        <w:t xml:space="preserve">. ATD Press. </w:t>
      </w:r>
    </w:p>
    <w:p w14:paraId="6F48FE01" w14:textId="77777777" w:rsidR="00F53ECF" w:rsidRPr="00F96556" w:rsidRDefault="00F53ECF" w:rsidP="00810D04">
      <w:pPr>
        <w:widowControl w:val="0"/>
        <w:tabs>
          <w:tab w:val="left" w:pos="360"/>
          <w:tab w:val="left" w:pos="720"/>
          <w:tab w:val="left" w:pos="2520"/>
          <w:tab w:val="left" w:pos="3960"/>
          <w:tab w:val="decimal" w:pos="6840"/>
          <w:tab w:val="decimal" w:pos="8640"/>
        </w:tabs>
        <w:spacing w:line="480" w:lineRule="auto"/>
        <w:ind w:left="720" w:hanging="720"/>
      </w:pPr>
      <w:r w:rsidRPr="00F96556">
        <w:t xml:space="preserve">Lenz, B. K., Deshler, D. D., &amp; </w:t>
      </w:r>
      <w:proofErr w:type="spellStart"/>
      <w:r w:rsidRPr="00F96556">
        <w:t>Kissam</w:t>
      </w:r>
      <w:proofErr w:type="spellEnd"/>
      <w:r w:rsidRPr="00F96556">
        <w:t xml:space="preserve">, B. R. (2004). </w:t>
      </w:r>
      <w:r w:rsidRPr="00F96556">
        <w:rPr>
          <w:i/>
        </w:rPr>
        <w:t>Teaching content to all: Evidence based inclusive practices in middle and secondary schools.</w:t>
      </w:r>
      <w:r w:rsidRPr="00F96556">
        <w:t xml:space="preserve"> Pearson.</w:t>
      </w:r>
    </w:p>
    <w:p w14:paraId="5E4560CD" w14:textId="77777777" w:rsidR="00F53ECF" w:rsidRPr="00F96556" w:rsidRDefault="00F53ECF" w:rsidP="00810D04">
      <w:pPr>
        <w:widowControl w:val="0"/>
        <w:tabs>
          <w:tab w:val="left" w:pos="360"/>
        </w:tabs>
        <w:spacing w:line="480" w:lineRule="auto"/>
        <w:ind w:left="720" w:hanging="720"/>
      </w:pPr>
      <w:r w:rsidRPr="00F96556">
        <w:t xml:space="preserve">Lenz, B. K., Marrs, R. W., Schumaker, J. B., &amp; Deshler, D. D. (1993). </w:t>
      </w:r>
      <w:r w:rsidRPr="00F96556">
        <w:rPr>
          <w:i/>
        </w:rPr>
        <w:t xml:space="preserve"> The Lesson Organizer Routine: Instructor’s manual</w:t>
      </w:r>
      <w:r w:rsidRPr="00F96556">
        <w:t>. Edge Enterprises, Inc.</w:t>
      </w:r>
    </w:p>
    <w:p w14:paraId="269F7CCE" w14:textId="77777777" w:rsidR="00F53ECF" w:rsidRPr="00F96556" w:rsidRDefault="00F53ECF" w:rsidP="00810D04">
      <w:pPr>
        <w:widowControl w:val="0"/>
        <w:spacing w:line="480" w:lineRule="auto"/>
        <w:ind w:left="720" w:hanging="720"/>
      </w:pPr>
      <w:r w:rsidRPr="00F96556">
        <w:t xml:space="preserve">Lenz, B. K., Schumaker, J. B., Deshler, D. D. &amp; </w:t>
      </w:r>
      <w:proofErr w:type="spellStart"/>
      <w:r w:rsidRPr="00F96556">
        <w:t>Boudah</w:t>
      </w:r>
      <w:proofErr w:type="spellEnd"/>
      <w:r w:rsidRPr="00F96556">
        <w:t xml:space="preserve">, D. A. (1994). </w:t>
      </w:r>
      <w:r w:rsidRPr="00F96556">
        <w:rPr>
          <w:i/>
        </w:rPr>
        <w:t>The Unit Organizer Routine: Instructor’s manual</w:t>
      </w:r>
      <w:r w:rsidRPr="00F96556">
        <w:t>. Edge Enterprises, Inc.</w:t>
      </w:r>
    </w:p>
    <w:p w14:paraId="149167E9" w14:textId="703510C5" w:rsidR="00105068" w:rsidRPr="00F96556" w:rsidRDefault="00F53ECF" w:rsidP="00810D04">
      <w:pPr>
        <w:widowControl w:val="0"/>
        <w:spacing w:line="480" w:lineRule="auto"/>
        <w:ind w:left="720" w:hanging="720"/>
      </w:pPr>
      <w:r w:rsidRPr="00F96556">
        <w:t xml:space="preserve">Lenz, B. K., Schumaker, J. B., Deshler, D. D. &amp; </w:t>
      </w:r>
      <w:proofErr w:type="spellStart"/>
      <w:r w:rsidRPr="00F96556">
        <w:t>Bulgren</w:t>
      </w:r>
      <w:proofErr w:type="spellEnd"/>
      <w:r w:rsidRPr="00F96556">
        <w:t xml:space="preserve">, J. A. (1998). </w:t>
      </w:r>
      <w:r w:rsidRPr="00F96556">
        <w:rPr>
          <w:i/>
        </w:rPr>
        <w:t xml:space="preserve">The Course Organizer Routine: Instructor’s manual. </w:t>
      </w:r>
      <w:r w:rsidRPr="00F96556">
        <w:t>Edge Enterprises.</w:t>
      </w:r>
    </w:p>
    <w:p w14:paraId="3ED149C8" w14:textId="41290749" w:rsidR="00A06C78" w:rsidRPr="00F96556" w:rsidRDefault="00A06C78" w:rsidP="00810D04">
      <w:pPr>
        <w:widowControl w:val="0"/>
        <w:spacing w:line="480" w:lineRule="auto"/>
        <w:ind w:left="720" w:hanging="720"/>
      </w:pPr>
      <w:proofErr w:type="spellStart"/>
      <w:r w:rsidRPr="00F96556">
        <w:t>Maciver</w:t>
      </w:r>
      <w:proofErr w:type="spellEnd"/>
      <w:r w:rsidRPr="00F96556">
        <w:t xml:space="preserve">, D., Hunter, C., Adamson, a, Grayson, A, Forsyth, K., &amp; McLeod, I. (2018). Supporting successful inclusive practices for learners with disabilities in high schools: A multisite, mixed method collective case study. </w:t>
      </w:r>
      <w:r w:rsidRPr="00F96556">
        <w:rPr>
          <w:i/>
          <w:iCs/>
        </w:rPr>
        <w:t>Disability and Rehabilitation</w:t>
      </w:r>
      <w:r w:rsidRPr="00F96556">
        <w:t xml:space="preserve">, </w:t>
      </w:r>
      <w:r w:rsidRPr="00F96556">
        <w:rPr>
          <w:i/>
          <w:iCs/>
        </w:rPr>
        <w:t>40</w:t>
      </w:r>
      <w:r w:rsidRPr="00F96556">
        <w:t>(14), 1708-1717.</w:t>
      </w:r>
      <w:r w:rsidR="00AA3D84" w:rsidRPr="00F96556">
        <w:t xml:space="preserve"> </w:t>
      </w:r>
      <w:hyperlink r:id="rId24" w:history="1">
        <w:r w:rsidR="00AA3D84" w:rsidRPr="00F96556">
          <w:rPr>
            <w:rStyle w:val="Hyperlink"/>
          </w:rPr>
          <w:t>https://doi.org/10.1080/09638288.2017.1306586</w:t>
        </w:r>
      </w:hyperlink>
    </w:p>
    <w:p w14:paraId="4F83A6A1" w14:textId="0D2D6771" w:rsidR="00F53ECF" w:rsidRPr="00F96556" w:rsidRDefault="00105068" w:rsidP="00810D04">
      <w:pPr>
        <w:widowControl w:val="0"/>
        <w:spacing w:line="480" w:lineRule="auto"/>
        <w:ind w:left="720" w:hanging="720"/>
      </w:pPr>
      <w:proofErr w:type="spellStart"/>
      <w:r w:rsidRPr="00F96556">
        <w:rPr>
          <w:lang w:eastAsia="ja-JP"/>
        </w:rPr>
        <w:t>Moin</w:t>
      </w:r>
      <w:proofErr w:type="spellEnd"/>
      <w:r w:rsidRPr="00F96556">
        <w:rPr>
          <w:lang w:eastAsia="ja-JP"/>
        </w:rPr>
        <w:t xml:space="preserve">, L., </w:t>
      </w:r>
      <w:proofErr w:type="spellStart"/>
      <w:r w:rsidRPr="00F96556">
        <w:rPr>
          <w:lang w:eastAsia="ja-JP"/>
        </w:rPr>
        <w:t>Magiera</w:t>
      </w:r>
      <w:proofErr w:type="spellEnd"/>
      <w:r w:rsidRPr="00F96556">
        <w:rPr>
          <w:lang w:eastAsia="ja-JP"/>
        </w:rPr>
        <w:t xml:space="preserve">, K., &amp; </w:t>
      </w:r>
      <w:proofErr w:type="spellStart"/>
      <w:r w:rsidRPr="00F96556">
        <w:rPr>
          <w:lang w:eastAsia="ja-JP"/>
        </w:rPr>
        <w:t>Zigmond</w:t>
      </w:r>
      <w:proofErr w:type="spellEnd"/>
      <w:r w:rsidRPr="00F96556">
        <w:rPr>
          <w:lang w:eastAsia="ja-JP"/>
        </w:rPr>
        <w:t xml:space="preserve">, N. (2009). Instructional activities and group work in the US inclusive high school co-taught science class. </w:t>
      </w:r>
      <w:r w:rsidRPr="00F96556">
        <w:rPr>
          <w:i/>
          <w:iCs/>
          <w:lang w:eastAsia="ja-JP"/>
        </w:rPr>
        <w:t>International Journal of Science and Mathematics Education, 7</w:t>
      </w:r>
      <w:r w:rsidRPr="00F96556">
        <w:rPr>
          <w:lang w:eastAsia="ja-JP"/>
        </w:rPr>
        <w:t xml:space="preserve">(4), 677-697. </w:t>
      </w:r>
      <w:r w:rsidRPr="00F96556">
        <w:rPr>
          <w:color w:val="000000" w:themeColor="text1"/>
          <w:shd w:val="clear" w:color="auto" w:fill="FCFCFC"/>
        </w:rPr>
        <w:t>https://doi.org/10.1007/s10763-008-9133-z</w:t>
      </w:r>
      <w:r w:rsidR="00F53ECF" w:rsidRPr="00F96556">
        <w:t xml:space="preserve"> </w:t>
      </w:r>
    </w:p>
    <w:p w14:paraId="727242DC" w14:textId="2C486F4E" w:rsidR="00544E54" w:rsidRPr="00F96556" w:rsidRDefault="00544E54" w:rsidP="00810D04">
      <w:pPr>
        <w:widowControl w:val="0"/>
        <w:spacing w:line="480" w:lineRule="auto"/>
        <w:ind w:left="720" w:hanging="720"/>
        <w:rPr>
          <w:lang w:eastAsia="ja-JP"/>
        </w:rPr>
      </w:pPr>
      <w:r w:rsidRPr="00F96556">
        <w:rPr>
          <w:lang w:eastAsia="ja-JP"/>
        </w:rPr>
        <w:t xml:space="preserve">Powell, C. G., &amp; </w:t>
      </w:r>
      <w:proofErr w:type="spellStart"/>
      <w:r w:rsidRPr="00F96556">
        <w:rPr>
          <w:lang w:eastAsia="ja-JP"/>
        </w:rPr>
        <w:t>Bodur</w:t>
      </w:r>
      <w:proofErr w:type="spellEnd"/>
      <w:r w:rsidRPr="00F96556">
        <w:rPr>
          <w:lang w:eastAsia="ja-JP"/>
        </w:rPr>
        <w:t xml:space="preserve">, Y. (2019). Teachers’ perceptions of an online professional development experience: Implications for a design and implementation framework. </w:t>
      </w:r>
      <w:r w:rsidRPr="00F96556">
        <w:rPr>
          <w:i/>
          <w:iCs/>
          <w:lang w:eastAsia="ja-JP"/>
        </w:rPr>
        <w:t>Teaching and Teacher Education, 77</w:t>
      </w:r>
      <w:r w:rsidRPr="00F96556">
        <w:rPr>
          <w:lang w:eastAsia="ja-JP"/>
        </w:rPr>
        <w:t xml:space="preserve">, 19-30. </w:t>
      </w:r>
      <w:r w:rsidRPr="00F96556">
        <w:rPr>
          <w:color w:val="000000" w:themeColor="text1"/>
        </w:rPr>
        <w:t>https://doi.org/10.1016/j.tate.2018.09.004</w:t>
      </w:r>
    </w:p>
    <w:p w14:paraId="089C4662" w14:textId="77777777" w:rsidR="00F53ECF" w:rsidRPr="00F96556" w:rsidRDefault="00F53ECF" w:rsidP="00810D04">
      <w:pPr>
        <w:widowControl w:val="0"/>
        <w:autoSpaceDE w:val="0"/>
        <w:autoSpaceDN w:val="0"/>
        <w:adjustRightInd w:val="0"/>
        <w:spacing w:line="480" w:lineRule="auto"/>
        <w:ind w:left="720" w:hanging="720"/>
      </w:pPr>
      <w:r w:rsidRPr="00F96556">
        <w:t xml:space="preserve">Pressley, M., &amp; McCormick, C. (2007). </w:t>
      </w:r>
      <w:r w:rsidRPr="00F96556">
        <w:rPr>
          <w:i/>
        </w:rPr>
        <w:t>Child and adolescent development for educators</w:t>
      </w:r>
      <w:r w:rsidRPr="00F96556">
        <w:t xml:space="preserve">. Guilford Press. </w:t>
      </w:r>
    </w:p>
    <w:p w14:paraId="6E44D38C" w14:textId="215E84DE" w:rsidR="00F53ECF" w:rsidRPr="00F96556" w:rsidRDefault="00F53ECF" w:rsidP="00810D04">
      <w:pPr>
        <w:widowControl w:val="0"/>
        <w:autoSpaceDE w:val="0"/>
        <w:autoSpaceDN w:val="0"/>
        <w:adjustRightInd w:val="0"/>
        <w:spacing w:line="480" w:lineRule="auto"/>
        <w:ind w:left="720" w:hanging="720"/>
      </w:pPr>
      <w:r w:rsidRPr="00F96556">
        <w:t xml:space="preserve">Pressley, M., Borkowski, J. G., &amp; Schneider, W. (1987). Cognitive strategies: Good strategy users coordinate meta-cognition and knowledge. In R. </w:t>
      </w:r>
      <w:proofErr w:type="spellStart"/>
      <w:r w:rsidRPr="00F96556">
        <w:t>Vasta</w:t>
      </w:r>
      <w:proofErr w:type="spellEnd"/>
      <w:r w:rsidR="00DF52AD" w:rsidRPr="00F96556">
        <w:t>,</w:t>
      </w:r>
      <w:r w:rsidRPr="00F96556">
        <w:t xml:space="preserve"> &amp; G. Whitehurst (Eds.), </w:t>
      </w:r>
      <w:r w:rsidRPr="00F96556">
        <w:rPr>
          <w:i/>
        </w:rPr>
        <w:t>Annals of child development: Vol. 4</w:t>
      </w:r>
      <w:r w:rsidRPr="00F96556">
        <w:t xml:space="preserve"> (pp.89- 129). JAI Press. </w:t>
      </w:r>
    </w:p>
    <w:p w14:paraId="617499AB" w14:textId="77777777" w:rsidR="00F53ECF" w:rsidRPr="00F96556" w:rsidRDefault="00F53ECF" w:rsidP="00810D04">
      <w:pPr>
        <w:widowControl w:val="0"/>
        <w:spacing w:line="480" w:lineRule="auto"/>
        <w:ind w:left="720" w:hanging="720"/>
      </w:pPr>
      <w:r w:rsidRPr="00F96556">
        <w:t xml:space="preserve">Putnam, L. M., Deshler, D. D., &amp; Schumaker, J. B. (1992). The investigation of setting demands: A missing link in learning strategy instruction. In L. Meltzer (Ed.), </w:t>
      </w:r>
      <w:r w:rsidRPr="00F96556">
        <w:rPr>
          <w:i/>
        </w:rPr>
        <w:t>Strategy Assessment and Instruction for students with learning disabilities: From theory to practice</w:t>
      </w:r>
      <w:r w:rsidRPr="00F96556">
        <w:t xml:space="preserve"> (pp. 325-351). Pro-Ed.</w:t>
      </w:r>
    </w:p>
    <w:p w14:paraId="5138200B" w14:textId="53C6D55E" w:rsidR="00F53ECF" w:rsidRPr="00F96556" w:rsidRDefault="00F53ECF" w:rsidP="00810D04">
      <w:pPr>
        <w:widowControl w:val="0"/>
        <w:spacing w:line="480" w:lineRule="auto"/>
        <w:ind w:left="720" w:hanging="720"/>
      </w:pPr>
      <w:r w:rsidRPr="00F96556">
        <w:t xml:space="preserve">Rademacher, J. A., Schumaker, J.B., Deshler, D. D., &amp; Lenz, B. K. (1998). </w:t>
      </w:r>
      <w:r w:rsidRPr="00F96556">
        <w:rPr>
          <w:i/>
        </w:rPr>
        <w:t xml:space="preserve">The Quality Assignment Routine; Instructor’s manual. </w:t>
      </w:r>
      <w:r w:rsidRPr="00F96556">
        <w:t>Edge Enterprises.</w:t>
      </w:r>
    </w:p>
    <w:p w14:paraId="0DF46A62" w14:textId="76D5F48E" w:rsidR="008F7BDA" w:rsidRPr="00F96556" w:rsidRDefault="008F7BDA" w:rsidP="00810D04">
      <w:pPr>
        <w:widowControl w:val="0"/>
        <w:spacing w:line="480" w:lineRule="auto"/>
        <w:ind w:left="720" w:hanging="720"/>
      </w:pPr>
      <w:r w:rsidRPr="00F96556">
        <w:t xml:space="preserve">Scanlon, D. J., Schumaker, J. B., &amp; Deshler, D. D. (2004). </w:t>
      </w:r>
      <w:r w:rsidRPr="00F96556">
        <w:rPr>
          <w:i/>
          <w:iCs/>
        </w:rPr>
        <w:t>The ORDER Routine: Creating meaning with graphic organizers.</w:t>
      </w:r>
      <w:r w:rsidRPr="00F96556">
        <w:t xml:space="preserve"> Edge Enterprises, Inc. </w:t>
      </w:r>
    </w:p>
    <w:p w14:paraId="0913E4F9" w14:textId="701C01C3" w:rsidR="008F7BDA" w:rsidRPr="00F96556" w:rsidRDefault="008F7BDA" w:rsidP="00810D04">
      <w:pPr>
        <w:widowControl w:val="0"/>
        <w:spacing w:line="480" w:lineRule="auto"/>
        <w:ind w:left="720" w:hanging="720"/>
      </w:pPr>
      <w:r w:rsidRPr="00F96556">
        <w:t xml:space="preserve">Schumaker, J. B., </w:t>
      </w:r>
      <w:proofErr w:type="spellStart"/>
      <w:r w:rsidRPr="00F96556">
        <w:t>Bulgren</w:t>
      </w:r>
      <w:proofErr w:type="spellEnd"/>
      <w:r w:rsidRPr="00F96556">
        <w:t xml:space="preserve">, J. A., Deshler, D. D., &amp; Lenz, B. K. (1998). </w:t>
      </w:r>
      <w:r w:rsidRPr="00F96556">
        <w:rPr>
          <w:i/>
          <w:iCs/>
        </w:rPr>
        <w:t>The Recall Enhancement Routine: Instructor’s manual</w:t>
      </w:r>
      <w:r w:rsidRPr="00F96556">
        <w:t xml:space="preserve">. University of Kansas Center for Research on Learning. </w:t>
      </w:r>
    </w:p>
    <w:p w14:paraId="7132278D" w14:textId="019A1C74" w:rsidR="00F53ECF" w:rsidRPr="00F96556" w:rsidRDefault="00BA3144" w:rsidP="00810D04">
      <w:pPr>
        <w:widowControl w:val="0"/>
        <w:spacing w:line="480" w:lineRule="auto"/>
        <w:ind w:left="720" w:hanging="720"/>
      </w:pPr>
      <w:r w:rsidRPr="00F96556">
        <w:t>Schumaker, J. B., &amp; Deshler, D. D.</w:t>
      </w:r>
      <w:r w:rsidR="00F53ECF" w:rsidRPr="00F96556">
        <w:t xml:space="preserve"> (1984). Setting demand variables: A major factor in program planning for the LD adolescent. </w:t>
      </w:r>
      <w:r w:rsidR="00F53ECF" w:rsidRPr="00F96556">
        <w:rPr>
          <w:i/>
        </w:rPr>
        <w:t>Topics in Language Disorders, 4</w:t>
      </w:r>
      <w:r w:rsidR="00F53ECF" w:rsidRPr="00F96556">
        <w:t xml:space="preserve">(2), 22-40. </w:t>
      </w:r>
      <w:hyperlink r:id="rId25" w:history="1">
        <w:r w:rsidR="00F53ECF" w:rsidRPr="00F96556">
          <w:rPr>
            <w:rStyle w:val="Hyperlink"/>
            <w:color w:val="auto"/>
          </w:rPr>
          <w:t>http://dx.doi.org/10.1097/00011363-198403000-00006</w:t>
        </w:r>
      </w:hyperlink>
    </w:p>
    <w:p w14:paraId="15C4915F" w14:textId="105E3D9F" w:rsidR="00FE2F62" w:rsidRPr="00F96556" w:rsidRDefault="00BA3144" w:rsidP="00810D04">
      <w:pPr>
        <w:widowControl w:val="0"/>
        <w:tabs>
          <w:tab w:val="left" w:pos="360"/>
          <w:tab w:val="decimal" w:pos="9000"/>
        </w:tabs>
        <w:spacing w:line="480" w:lineRule="auto"/>
        <w:ind w:left="720" w:hanging="720"/>
      </w:pPr>
      <w:r w:rsidRPr="00F96556">
        <w:t>Schumaker, J. B., &amp; Deshler, D. D.</w:t>
      </w:r>
      <w:r w:rsidR="00F53ECF" w:rsidRPr="00F96556">
        <w:t xml:space="preserve"> (198</w:t>
      </w:r>
      <w:r w:rsidR="000D2A8A" w:rsidRPr="00F96556">
        <w:t>8</w:t>
      </w:r>
      <w:r w:rsidR="00FE2F62" w:rsidRPr="00F96556">
        <w:t>a</w:t>
      </w:r>
      <w:r w:rsidR="00F53ECF" w:rsidRPr="00F96556">
        <w:t xml:space="preserve">). </w:t>
      </w:r>
      <w:r w:rsidR="00F53ECF" w:rsidRPr="00F96556">
        <w:rPr>
          <w:i/>
        </w:rPr>
        <w:t>The development and validation of planning routines to enhance the delivery of content to students with handicaps in general education setting</w:t>
      </w:r>
      <w:r w:rsidR="00FE2F62" w:rsidRPr="00F96556">
        <w:rPr>
          <w:i/>
        </w:rPr>
        <w:t xml:space="preserve">s. </w:t>
      </w:r>
      <w:r w:rsidR="00F53ECF" w:rsidRPr="00F96556">
        <w:t>Office of Special Education Programs, U. S. Office of Education</w:t>
      </w:r>
      <w:r w:rsidR="00FE2F62" w:rsidRPr="00F96556">
        <w:t>.</w:t>
      </w:r>
    </w:p>
    <w:p w14:paraId="04AF24B7" w14:textId="732FEB2E" w:rsidR="00F53ECF" w:rsidRPr="00F96556" w:rsidRDefault="00FE2F62" w:rsidP="00810D04">
      <w:pPr>
        <w:widowControl w:val="0"/>
        <w:tabs>
          <w:tab w:val="left" w:pos="360"/>
          <w:tab w:val="decimal" w:pos="9000"/>
        </w:tabs>
        <w:spacing w:line="480" w:lineRule="auto"/>
        <w:ind w:left="720" w:hanging="720"/>
      </w:pPr>
      <w:r w:rsidRPr="00F96556">
        <w:t xml:space="preserve">Schumaker J. B., &amp; Deshler, D. D. (1988b). </w:t>
      </w:r>
      <w:r w:rsidRPr="00F96556">
        <w:rPr>
          <w:i/>
          <w:iCs/>
        </w:rPr>
        <w:t>The development and validation of teaching routines for enhancing the performance of adolescents with learning disabilities in mainstream classes.</w:t>
      </w:r>
      <w:r w:rsidRPr="00F96556">
        <w:t xml:space="preserve"> National Institute on Disability and Rehabilitation Research, U.S. Department of Education</w:t>
      </w:r>
      <w:r w:rsidR="00F53ECF" w:rsidRPr="00F96556">
        <w:t xml:space="preserve">. </w:t>
      </w:r>
    </w:p>
    <w:p w14:paraId="1D560651" w14:textId="598B1493" w:rsidR="00BA3144" w:rsidRPr="00F96556" w:rsidRDefault="00BA3144" w:rsidP="00810D04">
      <w:pPr>
        <w:widowControl w:val="0"/>
        <w:spacing w:line="480" w:lineRule="auto"/>
        <w:ind w:left="720" w:hanging="720"/>
      </w:pPr>
      <w:r w:rsidRPr="00F96556">
        <w:t>Schumaker, J. B., &amp; Deshler, D. D.</w:t>
      </w:r>
      <w:r w:rsidRPr="00F96556">
        <w:rPr>
          <w:i/>
        </w:rPr>
        <w:t xml:space="preserve"> </w:t>
      </w:r>
      <w:r w:rsidRPr="00F96556">
        <w:t>(199</w:t>
      </w:r>
      <w:r w:rsidR="00E5377F" w:rsidRPr="00F96556">
        <w:t>0</w:t>
      </w:r>
      <w:r w:rsidRPr="00F96556">
        <w:t>).</w:t>
      </w:r>
      <w:r w:rsidRPr="00F96556">
        <w:rPr>
          <w:i/>
        </w:rPr>
        <w:t xml:space="preserve"> Validation of an integrated model of strategic and content instruction for secondary mainstream classes</w:t>
      </w:r>
      <w:r w:rsidRPr="00F96556">
        <w:t xml:space="preserve">. </w:t>
      </w:r>
      <w:r w:rsidR="00DF52AD" w:rsidRPr="00F96556">
        <w:t xml:space="preserve">Office of </w:t>
      </w:r>
      <w:r w:rsidRPr="00F96556">
        <w:t>Special Education Programs, U.S. Department of Education</w:t>
      </w:r>
      <w:r w:rsidR="00FE2F62" w:rsidRPr="00F96556">
        <w:t>.</w:t>
      </w:r>
    </w:p>
    <w:p w14:paraId="1B5551AF" w14:textId="247101A8" w:rsidR="00BA3144" w:rsidRPr="00F96556" w:rsidRDefault="00FE2F62" w:rsidP="00810D04">
      <w:pPr>
        <w:widowControl w:val="0"/>
        <w:spacing w:line="480" w:lineRule="auto"/>
        <w:ind w:left="720" w:hanging="720"/>
      </w:pPr>
      <w:r w:rsidRPr="00F96556">
        <w:t xml:space="preserve">Schumaker, J. B., &amp; Deshler, D. D. (1991). </w:t>
      </w:r>
      <w:r w:rsidRPr="00F96556">
        <w:rPr>
          <w:i/>
        </w:rPr>
        <w:t>Reasoning strategies and teaching routines for use in mainstream secondary classrooms.</w:t>
      </w:r>
      <w:r w:rsidRPr="00F96556">
        <w:t xml:space="preserve"> Office of Special Education Programs, U.S. Department of Education. </w:t>
      </w:r>
    </w:p>
    <w:p w14:paraId="4E202F89" w14:textId="7CF9B5D4" w:rsidR="00F53ECF" w:rsidRPr="00F96556" w:rsidRDefault="001B198B" w:rsidP="00810D04">
      <w:pPr>
        <w:widowControl w:val="0"/>
        <w:spacing w:line="480" w:lineRule="auto"/>
        <w:ind w:left="720" w:hanging="720"/>
      </w:pPr>
      <w:r w:rsidRPr="00F96556">
        <w:t>Schumaker, J. B., &amp; Deshler, D. D.</w:t>
      </w:r>
      <w:r w:rsidR="00F53ECF" w:rsidRPr="00F96556">
        <w:t xml:space="preserve"> (2010).  Using a tiered intervention model in secondary schools to improve academic outcomes in subject-area courses. In M. R. Shinn &amp; H. M. Walker (Eds.), </w:t>
      </w:r>
      <w:r w:rsidR="00F53ECF" w:rsidRPr="00F96556">
        <w:rPr>
          <w:i/>
        </w:rPr>
        <w:t>Interventions for achievement and behavior problems in a three-tier model including RTI.</w:t>
      </w:r>
      <w:r w:rsidR="00F53ECF" w:rsidRPr="00F96556">
        <w:t xml:space="preserve"> National Association of School Psychologists. </w:t>
      </w:r>
    </w:p>
    <w:p w14:paraId="4D2D4DE5" w14:textId="77777777" w:rsidR="00FE2F62" w:rsidRPr="00F96556" w:rsidRDefault="00FE2F62" w:rsidP="00810D04">
      <w:pPr>
        <w:widowControl w:val="0"/>
        <w:spacing w:line="480" w:lineRule="auto"/>
        <w:ind w:left="720" w:hanging="720"/>
      </w:pPr>
      <w:r w:rsidRPr="00F96556">
        <w:t xml:space="preserve">Schumaker, J. B., Deshler, D. D. &amp; McKnight, P. C. (1991). Teaching routines for content areas at the secondary level. In G. Stover, M. R. Shinn, &amp; H. M. Walker (Eds.), </w:t>
      </w:r>
      <w:r w:rsidRPr="00F96556">
        <w:rPr>
          <w:i/>
        </w:rPr>
        <w:t>Interventions for academic and behavior problems</w:t>
      </w:r>
      <w:r w:rsidRPr="00F96556">
        <w:t xml:space="preserve"> (pp. 374-395). National Association of School Psychologists.</w:t>
      </w:r>
    </w:p>
    <w:p w14:paraId="63F49518" w14:textId="11BBB9E8" w:rsidR="005D0779" w:rsidRPr="00F96556" w:rsidRDefault="00BA3144" w:rsidP="00810D04">
      <w:pPr>
        <w:widowControl w:val="0"/>
        <w:spacing w:line="480" w:lineRule="auto"/>
        <w:ind w:left="720" w:hanging="720"/>
      </w:pPr>
      <w:r w:rsidRPr="00F96556">
        <w:t xml:space="preserve">Schumaker, J. B., Deshler, D. D., &amp; McKnight, P. C. </w:t>
      </w:r>
      <w:r w:rsidR="00F53ECF" w:rsidRPr="00F96556">
        <w:t xml:space="preserve"> (2002). Ensuring success in the secondary general education curriculum through the use of teaching routines. In. G. Stover, M. R. </w:t>
      </w:r>
      <w:r w:rsidR="00F53ECF" w:rsidRPr="00F96556">
        <w:lastRenderedPageBreak/>
        <w:t xml:space="preserve">Shinn, &amp; H. M. Walker (Eds.), </w:t>
      </w:r>
      <w:r w:rsidR="00F53ECF" w:rsidRPr="00F96556">
        <w:rPr>
          <w:i/>
        </w:rPr>
        <w:t>Interventions for achievement and behavior problems</w:t>
      </w:r>
      <w:r w:rsidR="00F53ECF" w:rsidRPr="00F96556">
        <w:t xml:space="preserve"> (pp. 791-824). National Association of School Psychologists.</w:t>
      </w:r>
    </w:p>
    <w:p w14:paraId="69D7BA18" w14:textId="6D9A60F1" w:rsidR="00F55403" w:rsidRPr="00F96556" w:rsidRDefault="00F55403" w:rsidP="00810D04">
      <w:pPr>
        <w:widowControl w:val="0"/>
        <w:spacing w:line="480" w:lineRule="auto"/>
        <w:ind w:left="720" w:hanging="720"/>
      </w:pPr>
      <w:r w:rsidRPr="00F96556">
        <w:t xml:space="preserve">Scruggs, T. E., Mastropieri, M. A., &amp; </w:t>
      </w:r>
      <w:proofErr w:type="spellStart"/>
      <w:r w:rsidRPr="00F96556">
        <w:t>Marshak</w:t>
      </w:r>
      <w:proofErr w:type="spellEnd"/>
      <w:r w:rsidRPr="00F96556">
        <w:t xml:space="preserve">, L. (2012). Peer-mediated instruction in inclusive secondary social studies learning: Direct and indirect effects. </w:t>
      </w:r>
      <w:r w:rsidRPr="00F96556">
        <w:rPr>
          <w:i/>
          <w:iCs/>
        </w:rPr>
        <w:t>Learning Disabilities Research and Practice</w:t>
      </w:r>
      <w:r w:rsidRPr="00F96556">
        <w:t xml:space="preserve">, </w:t>
      </w:r>
      <w:r w:rsidRPr="00F96556">
        <w:rPr>
          <w:i/>
          <w:iCs/>
        </w:rPr>
        <w:t>27</w:t>
      </w:r>
      <w:r w:rsidRPr="00F96556">
        <w:t xml:space="preserve">(1), 12-20. </w:t>
      </w:r>
      <w:hyperlink r:id="rId26" w:history="1">
        <w:r w:rsidR="00C60FCE" w:rsidRPr="00F96556">
          <w:rPr>
            <w:rStyle w:val="Hyperlink"/>
          </w:rPr>
          <w:t>https://doi.org/10.1111/j.1540-5826.2011.00346.x</w:t>
        </w:r>
      </w:hyperlink>
    </w:p>
    <w:p w14:paraId="1A128689" w14:textId="77777777" w:rsidR="005D0779" w:rsidRPr="00F96556" w:rsidRDefault="005D0779" w:rsidP="00810D04">
      <w:pPr>
        <w:widowControl w:val="0"/>
        <w:spacing w:line="480" w:lineRule="auto"/>
        <w:ind w:left="720" w:hanging="720"/>
        <w:rPr>
          <w:lang w:eastAsia="ja-JP"/>
        </w:rPr>
      </w:pPr>
      <w:proofErr w:type="spellStart"/>
      <w:r w:rsidRPr="00F96556">
        <w:rPr>
          <w:lang w:eastAsia="ja-JP"/>
        </w:rPr>
        <w:t>Slavin</w:t>
      </w:r>
      <w:proofErr w:type="spellEnd"/>
      <w:r w:rsidRPr="00F96556">
        <w:rPr>
          <w:lang w:eastAsia="ja-JP"/>
        </w:rPr>
        <w:t xml:space="preserve">, R. E. (2020). How evidence-based reform will transform research and practice in education. </w:t>
      </w:r>
      <w:r w:rsidRPr="00F96556">
        <w:rPr>
          <w:i/>
          <w:iCs/>
          <w:lang w:eastAsia="ja-JP"/>
        </w:rPr>
        <w:t>Educational Psychologist, 55</w:t>
      </w:r>
      <w:r w:rsidRPr="00F96556">
        <w:rPr>
          <w:lang w:eastAsia="ja-JP"/>
        </w:rPr>
        <w:t xml:space="preserve">(1), 21-31. </w:t>
      </w:r>
      <w:r w:rsidRPr="00F96556">
        <w:rPr>
          <w:color w:val="000000" w:themeColor="text1"/>
        </w:rPr>
        <w:t>https://doi.org/10.1080/00461520.2019.1611432</w:t>
      </w:r>
    </w:p>
    <w:p w14:paraId="53BFE56C" w14:textId="26AAE043" w:rsidR="005D0779" w:rsidRPr="00F96556" w:rsidRDefault="005D0779" w:rsidP="00810D04">
      <w:pPr>
        <w:widowControl w:val="0"/>
        <w:spacing w:line="480" w:lineRule="auto"/>
        <w:ind w:left="720" w:hanging="720"/>
      </w:pPr>
      <w:proofErr w:type="spellStart"/>
      <w:r w:rsidRPr="00F96556">
        <w:t>Stainback</w:t>
      </w:r>
      <w:proofErr w:type="spellEnd"/>
      <w:r w:rsidRPr="00F96556">
        <w:t>, W.</w:t>
      </w:r>
      <w:r w:rsidR="00544E54" w:rsidRPr="00F96556">
        <w:t>,</w:t>
      </w:r>
      <w:r w:rsidRPr="00F96556">
        <w:t xml:space="preserve"> &amp; </w:t>
      </w:r>
      <w:proofErr w:type="spellStart"/>
      <w:r w:rsidRPr="00F96556">
        <w:t>Stainback</w:t>
      </w:r>
      <w:proofErr w:type="spellEnd"/>
      <w:r w:rsidRPr="00F96556">
        <w:t xml:space="preserve">, S. (1984). A rationale for the merger of special and regular education. </w:t>
      </w:r>
      <w:r w:rsidRPr="00F96556">
        <w:rPr>
          <w:i/>
          <w:iCs/>
        </w:rPr>
        <w:t>Exceptional Children, 51</w:t>
      </w:r>
      <w:r w:rsidRPr="00F96556">
        <w:t xml:space="preserve">(2), 102-111. </w:t>
      </w:r>
      <w:r w:rsidRPr="00F96556">
        <w:rPr>
          <w:color w:val="000000" w:themeColor="text1"/>
          <w:shd w:val="clear" w:color="auto" w:fill="FFFFFF"/>
        </w:rPr>
        <w:t>https://doi.org/10.1177/001440298405100201</w:t>
      </w:r>
    </w:p>
    <w:p w14:paraId="03D14E28" w14:textId="6B9D1B42" w:rsidR="005D0779" w:rsidRPr="00F96556" w:rsidRDefault="005D0779" w:rsidP="00810D04">
      <w:pPr>
        <w:keepNext/>
        <w:widowControl w:val="0"/>
        <w:spacing w:line="480" w:lineRule="auto"/>
        <w:ind w:left="720" w:hanging="720"/>
        <w:rPr>
          <w:color w:val="000000" w:themeColor="text1"/>
        </w:rPr>
      </w:pPr>
      <w:r w:rsidRPr="00F96556">
        <w:rPr>
          <w:lang w:eastAsia="ja-JP"/>
        </w:rPr>
        <w:t xml:space="preserve">State, T. M., Simonsen, B., </w:t>
      </w:r>
      <w:proofErr w:type="spellStart"/>
      <w:r w:rsidRPr="00F96556">
        <w:rPr>
          <w:lang w:eastAsia="ja-JP"/>
        </w:rPr>
        <w:t>Hirn</w:t>
      </w:r>
      <w:proofErr w:type="spellEnd"/>
      <w:r w:rsidRPr="00F96556">
        <w:rPr>
          <w:lang w:eastAsia="ja-JP"/>
        </w:rPr>
        <w:t xml:space="preserve">, R. G., &amp; Wills, H. (2019). Bridging the research-to-practice gap through effective professional development for teachers working with students with emotional and behavioral disorders. </w:t>
      </w:r>
      <w:r w:rsidRPr="00F96556">
        <w:rPr>
          <w:i/>
          <w:iCs/>
          <w:lang w:eastAsia="ja-JP"/>
        </w:rPr>
        <w:t>Behavioral Disorders, 44</w:t>
      </w:r>
      <w:r w:rsidRPr="00F96556">
        <w:rPr>
          <w:lang w:eastAsia="ja-JP"/>
        </w:rPr>
        <w:t>(2), 107-116.</w:t>
      </w:r>
      <w:r w:rsidR="000F46C3" w:rsidRPr="00F96556">
        <w:rPr>
          <w:lang w:eastAsia="ja-JP"/>
        </w:rPr>
        <w:t xml:space="preserve"> </w:t>
      </w:r>
      <w:hyperlink r:id="rId27" w:history="1">
        <w:r w:rsidR="000F46C3" w:rsidRPr="00F96556">
          <w:rPr>
            <w:rStyle w:val="Hyperlink"/>
          </w:rPr>
          <w:t>http://doi.org/10.1177/0198742918816447</w:t>
        </w:r>
      </w:hyperlink>
    </w:p>
    <w:p w14:paraId="6407EDE4" w14:textId="73B56A4B" w:rsidR="002031F4" w:rsidRPr="00F96556" w:rsidRDefault="002031F4" w:rsidP="00810D04">
      <w:pPr>
        <w:widowControl w:val="0"/>
        <w:spacing w:line="480" w:lineRule="auto"/>
        <w:ind w:left="720" w:hanging="720"/>
        <w:rPr>
          <w:rStyle w:val="Hyperlink"/>
          <w:color w:val="auto"/>
          <w:u w:val="none"/>
        </w:rPr>
      </w:pPr>
      <w:r w:rsidRPr="00F96556">
        <w:rPr>
          <w:rStyle w:val="Hyperlink"/>
          <w:color w:val="auto"/>
          <w:u w:val="none"/>
        </w:rPr>
        <w:t>Swanson, E., &amp; Boucher, A. N. (2021). Instructional practices to boost Tier 1 content</w:t>
      </w:r>
      <w:r w:rsidR="00F55403" w:rsidRPr="00F96556">
        <w:rPr>
          <w:rStyle w:val="Hyperlink"/>
          <w:color w:val="auto"/>
          <w:u w:val="none"/>
        </w:rPr>
        <w:t>-</w:t>
      </w:r>
      <w:r w:rsidRPr="00F96556">
        <w:rPr>
          <w:rStyle w:val="Hyperlink"/>
          <w:color w:val="auto"/>
          <w:u w:val="none"/>
        </w:rPr>
        <w:t xml:space="preserve">area instruction for students with disabilities: </w:t>
      </w:r>
      <w:r w:rsidR="00F55403" w:rsidRPr="00F96556">
        <w:rPr>
          <w:rStyle w:val="Hyperlink"/>
          <w:color w:val="auto"/>
          <w:u w:val="none"/>
        </w:rPr>
        <w:t>A</w:t>
      </w:r>
      <w:r w:rsidRPr="00F96556">
        <w:rPr>
          <w:rStyle w:val="Hyperlink"/>
          <w:color w:val="auto"/>
          <w:u w:val="none"/>
        </w:rPr>
        <w:t xml:space="preserve"> closer look at PACT. </w:t>
      </w:r>
      <w:r w:rsidR="00F55403" w:rsidRPr="00F96556">
        <w:rPr>
          <w:rStyle w:val="Hyperlink"/>
          <w:color w:val="auto"/>
          <w:u w:val="none"/>
        </w:rPr>
        <w:t xml:space="preserve"> </w:t>
      </w:r>
      <w:r w:rsidR="00F55403" w:rsidRPr="00F96556">
        <w:rPr>
          <w:rStyle w:val="Hyperlink"/>
          <w:i/>
          <w:iCs/>
          <w:color w:val="auto"/>
          <w:u w:val="none"/>
        </w:rPr>
        <w:t>Learning Disabilities: A Multidisciplinary Journal</w:t>
      </w:r>
      <w:r w:rsidR="00F55403" w:rsidRPr="00F96556">
        <w:rPr>
          <w:rStyle w:val="Hyperlink"/>
          <w:color w:val="auto"/>
          <w:u w:val="none"/>
        </w:rPr>
        <w:t xml:space="preserve">, </w:t>
      </w:r>
      <w:r w:rsidR="00F55403" w:rsidRPr="00F96556">
        <w:rPr>
          <w:rStyle w:val="Hyperlink"/>
          <w:i/>
          <w:iCs/>
          <w:color w:val="auto"/>
          <w:u w:val="none"/>
        </w:rPr>
        <w:t>26</w:t>
      </w:r>
      <w:r w:rsidR="00F55403" w:rsidRPr="00F96556">
        <w:rPr>
          <w:rStyle w:val="Hyperlink"/>
          <w:color w:val="auto"/>
          <w:u w:val="none"/>
        </w:rPr>
        <w:t xml:space="preserve">(1), 73-89. </w:t>
      </w:r>
      <w:hyperlink r:id="rId28" w:history="1">
        <w:r w:rsidR="00F55403" w:rsidRPr="00F96556">
          <w:rPr>
            <w:rStyle w:val="Hyperlink"/>
          </w:rPr>
          <w:t>https://doi.org/10.18666/LDMJ-2021-V26-I1-10362</w:t>
        </w:r>
      </w:hyperlink>
    </w:p>
    <w:p w14:paraId="6D4BA513" w14:textId="420C31BF" w:rsidR="008B3A1A" w:rsidRPr="00F96556" w:rsidRDefault="008B3A1A" w:rsidP="00810D04">
      <w:pPr>
        <w:widowControl w:val="0"/>
        <w:spacing w:line="480" w:lineRule="auto"/>
        <w:ind w:left="720" w:hanging="720"/>
        <w:rPr>
          <w:lang w:eastAsia="ja-JP"/>
        </w:rPr>
      </w:pPr>
      <w:r w:rsidRPr="00F96556">
        <w:rPr>
          <w:lang w:eastAsia="ja-JP"/>
        </w:rPr>
        <w:t xml:space="preserve">Swanson, H. L., &amp; Deshler, D. (2003). Instructing adolescents with learning disabilities: Converting a meta-analysis to practice. </w:t>
      </w:r>
      <w:r w:rsidRPr="00F96556">
        <w:rPr>
          <w:i/>
          <w:iCs/>
          <w:lang w:eastAsia="ja-JP"/>
        </w:rPr>
        <w:t>Journal of Learning Disabilities, 36</w:t>
      </w:r>
      <w:r w:rsidRPr="00F96556">
        <w:rPr>
          <w:lang w:eastAsia="ja-JP"/>
        </w:rPr>
        <w:t xml:space="preserve">(2), 124-135. </w:t>
      </w:r>
      <w:r w:rsidRPr="00F96556">
        <w:rPr>
          <w:color w:val="000000" w:themeColor="text1"/>
          <w:shd w:val="clear" w:color="auto" w:fill="FFFFFF"/>
        </w:rPr>
        <w:t>https://doi.org/10.1177/002221940303600205</w:t>
      </w:r>
    </w:p>
    <w:p w14:paraId="3EDA34A5" w14:textId="5422736F" w:rsidR="00C60FCE" w:rsidRPr="00F96556" w:rsidRDefault="00F53ECF" w:rsidP="00810D04">
      <w:pPr>
        <w:widowControl w:val="0"/>
        <w:spacing w:line="480" w:lineRule="auto"/>
        <w:ind w:left="720" w:hanging="720"/>
        <w:rPr>
          <w:rStyle w:val="Hyperlink"/>
          <w:color w:val="auto"/>
        </w:rPr>
      </w:pPr>
      <w:r w:rsidRPr="00F96556">
        <w:t xml:space="preserve">Swanson, H. L., &amp; </w:t>
      </w:r>
      <w:proofErr w:type="spellStart"/>
      <w:r w:rsidRPr="00F96556">
        <w:t>Hoskyn</w:t>
      </w:r>
      <w:proofErr w:type="spellEnd"/>
      <w:r w:rsidRPr="00F96556">
        <w:t xml:space="preserve">, M. (1998). Experimental intervention research for students with learning disabilities: A meta-analysis of treatment outcomes. </w:t>
      </w:r>
      <w:r w:rsidRPr="00F96556">
        <w:rPr>
          <w:i/>
        </w:rPr>
        <w:t xml:space="preserve">Review of Educational </w:t>
      </w:r>
      <w:r w:rsidRPr="00F96556">
        <w:rPr>
          <w:i/>
        </w:rPr>
        <w:lastRenderedPageBreak/>
        <w:t>Research</w:t>
      </w:r>
      <w:r w:rsidRPr="00F96556">
        <w:t xml:space="preserve">, </w:t>
      </w:r>
      <w:r w:rsidRPr="00F96556">
        <w:rPr>
          <w:i/>
        </w:rPr>
        <w:t>68</w:t>
      </w:r>
      <w:r w:rsidRPr="00F96556">
        <w:t xml:space="preserve">(3), 276-321. </w:t>
      </w:r>
      <w:hyperlink r:id="rId29" w:history="1">
        <w:r w:rsidRPr="00F96556">
          <w:rPr>
            <w:rStyle w:val="Hyperlink"/>
            <w:color w:val="auto"/>
          </w:rPr>
          <w:t>https://doi.org:10.3102/00346543068003277</w:t>
        </w:r>
      </w:hyperlink>
    </w:p>
    <w:p w14:paraId="2D488F58" w14:textId="154E6D27" w:rsidR="00F53ECF" w:rsidRPr="00F96556" w:rsidRDefault="00F53ECF" w:rsidP="00810D04">
      <w:pPr>
        <w:widowControl w:val="0"/>
        <w:autoSpaceDE w:val="0"/>
        <w:autoSpaceDN w:val="0"/>
        <w:adjustRightInd w:val="0"/>
        <w:spacing w:line="480" w:lineRule="auto"/>
        <w:ind w:left="720" w:hanging="720"/>
      </w:pPr>
      <w:r w:rsidRPr="00F96556">
        <w:t xml:space="preserve">Swanson, H. L., </w:t>
      </w:r>
      <w:proofErr w:type="spellStart"/>
      <w:r w:rsidRPr="00F96556">
        <w:t>Hoskyn</w:t>
      </w:r>
      <w:proofErr w:type="spellEnd"/>
      <w:r w:rsidRPr="00F96556">
        <w:t xml:space="preserve">, M., &amp; Lee, C. (1999). </w:t>
      </w:r>
      <w:r w:rsidRPr="00F96556">
        <w:rPr>
          <w:i/>
        </w:rPr>
        <w:t>Interventions for students with learning disabilities: A meta-analysis of treatment outcomes.</w:t>
      </w:r>
      <w:r w:rsidRPr="00F96556">
        <w:t xml:space="preserve"> Guilford Press.</w:t>
      </w:r>
    </w:p>
    <w:p w14:paraId="15E42B7B" w14:textId="63E78CC6" w:rsidR="00C60FCE" w:rsidRPr="00F96556" w:rsidRDefault="00F55403" w:rsidP="00810D04">
      <w:pPr>
        <w:widowControl w:val="0"/>
        <w:spacing w:line="480" w:lineRule="auto"/>
        <w:ind w:left="720" w:hanging="720"/>
        <w:rPr>
          <w:rStyle w:val="Hyperlink"/>
          <w:color w:val="auto"/>
        </w:rPr>
      </w:pPr>
      <w:proofErr w:type="spellStart"/>
      <w:r w:rsidRPr="00F96556">
        <w:t>Tralli</w:t>
      </w:r>
      <w:proofErr w:type="spellEnd"/>
      <w:r w:rsidRPr="00F96556">
        <w:t xml:space="preserve">, R., Colombo, B., Deshler, D. D., &amp; Schumaker, J. B. (1996). The Strategies Intervention Model: A model for supported inclusion at the secondary level. </w:t>
      </w:r>
      <w:r w:rsidRPr="00F96556">
        <w:rPr>
          <w:i/>
        </w:rPr>
        <w:t>Remedial and Special Education,</w:t>
      </w:r>
      <w:r w:rsidRPr="00F96556">
        <w:t xml:space="preserve"> </w:t>
      </w:r>
      <w:r w:rsidRPr="00F96556">
        <w:rPr>
          <w:i/>
        </w:rPr>
        <w:t>17</w:t>
      </w:r>
      <w:r w:rsidRPr="00F96556">
        <w:t xml:space="preserve">(4), 204-216. </w:t>
      </w:r>
      <w:hyperlink r:id="rId30" w:history="1">
        <w:r w:rsidR="00C60FCE" w:rsidRPr="00F96556">
          <w:rPr>
            <w:rStyle w:val="Hyperlink"/>
          </w:rPr>
          <w:t>https://dx.doi.org/10.1177/074193259601700403</w:t>
        </w:r>
      </w:hyperlink>
    </w:p>
    <w:p w14:paraId="0F0BD0B8" w14:textId="3EDC07A6" w:rsidR="005D0779" w:rsidRPr="00F96556" w:rsidRDefault="005D0779" w:rsidP="00810D04">
      <w:pPr>
        <w:widowControl w:val="0"/>
        <w:spacing w:line="480" w:lineRule="auto"/>
        <w:ind w:left="720" w:hanging="720"/>
        <w:rPr>
          <w:color w:val="000000" w:themeColor="text1"/>
          <w:shd w:val="clear" w:color="auto" w:fill="FFFFFF"/>
        </w:rPr>
      </w:pPr>
      <w:r w:rsidRPr="00F96556">
        <w:rPr>
          <w:lang w:eastAsia="ja-JP"/>
        </w:rPr>
        <w:t xml:space="preserve">Vaughn, S., </w:t>
      </w:r>
      <w:proofErr w:type="spellStart"/>
      <w:r w:rsidRPr="00F96556">
        <w:rPr>
          <w:lang w:eastAsia="ja-JP"/>
        </w:rPr>
        <w:t>Gersten</w:t>
      </w:r>
      <w:proofErr w:type="spellEnd"/>
      <w:r w:rsidRPr="00F96556">
        <w:rPr>
          <w:lang w:eastAsia="ja-JP"/>
        </w:rPr>
        <w:t xml:space="preserve">, R., &amp; Chard, D. J. (2000). The underlying message in LD intervention research: Findings from research syntheses. </w:t>
      </w:r>
      <w:r w:rsidRPr="00F96556">
        <w:rPr>
          <w:i/>
          <w:iCs/>
          <w:lang w:eastAsia="ja-JP"/>
        </w:rPr>
        <w:t>Exceptional Children, 67</w:t>
      </w:r>
      <w:r w:rsidRPr="00F96556">
        <w:rPr>
          <w:lang w:eastAsia="ja-JP"/>
        </w:rPr>
        <w:t xml:space="preserve">(1), 99-114. </w:t>
      </w:r>
      <w:hyperlink r:id="rId31" w:history="1">
        <w:r w:rsidR="00A06C78" w:rsidRPr="00F96556">
          <w:rPr>
            <w:rStyle w:val="Hyperlink"/>
            <w:shd w:val="clear" w:color="auto" w:fill="FFFFFF"/>
          </w:rPr>
          <w:t>https://doi.org/10.1177/001440290006700107</w:t>
        </w:r>
      </w:hyperlink>
    </w:p>
    <w:p w14:paraId="450717E1" w14:textId="47E1D9AF" w:rsidR="00A06C78" w:rsidRPr="00F96556" w:rsidRDefault="00A06C78" w:rsidP="00810D04">
      <w:pPr>
        <w:widowControl w:val="0"/>
        <w:spacing w:line="480" w:lineRule="auto"/>
        <w:ind w:left="720" w:hanging="720"/>
        <w:rPr>
          <w:color w:val="000000" w:themeColor="text1"/>
          <w:shd w:val="clear" w:color="auto" w:fill="FFFFFF"/>
        </w:rPr>
      </w:pPr>
      <w:proofErr w:type="spellStart"/>
      <w:r w:rsidRPr="00F96556">
        <w:rPr>
          <w:color w:val="000000" w:themeColor="text1"/>
          <w:shd w:val="clear" w:color="auto" w:fill="FFFFFF"/>
        </w:rPr>
        <w:t>Wanzek</w:t>
      </w:r>
      <w:proofErr w:type="spellEnd"/>
      <w:r w:rsidRPr="00F96556">
        <w:rPr>
          <w:color w:val="000000" w:themeColor="text1"/>
          <w:shd w:val="clear" w:color="auto" w:fill="FFFFFF"/>
        </w:rPr>
        <w:t xml:space="preserve">, J., Swanson, E., Vaughn, S., Roberts, G., &amp; Fall, A. (2016). English learner and non-English learner students with disabilities: Content acquisition and comprehension. </w:t>
      </w:r>
      <w:r w:rsidRPr="00F96556">
        <w:rPr>
          <w:i/>
          <w:iCs/>
          <w:color w:val="000000" w:themeColor="text1"/>
          <w:shd w:val="clear" w:color="auto" w:fill="FFFFFF"/>
        </w:rPr>
        <w:t>Exceptional Children</w:t>
      </w:r>
      <w:r w:rsidRPr="00F96556">
        <w:rPr>
          <w:color w:val="000000" w:themeColor="text1"/>
          <w:shd w:val="clear" w:color="auto" w:fill="FFFFFF"/>
        </w:rPr>
        <w:t xml:space="preserve">, </w:t>
      </w:r>
      <w:r w:rsidRPr="00F96556">
        <w:rPr>
          <w:i/>
          <w:iCs/>
          <w:color w:val="000000" w:themeColor="text1"/>
          <w:shd w:val="clear" w:color="auto" w:fill="FFFFFF"/>
        </w:rPr>
        <w:t>84</w:t>
      </w:r>
      <w:r w:rsidRPr="00F96556">
        <w:rPr>
          <w:color w:val="000000" w:themeColor="text1"/>
          <w:shd w:val="clear" w:color="auto" w:fill="FFFFFF"/>
        </w:rPr>
        <w:t xml:space="preserve">(4), 428-442. </w:t>
      </w:r>
      <w:hyperlink r:id="rId32" w:history="1">
        <w:r w:rsidR="00C60FCE" w:rsidRPr="00F96556">
          <w:rPr>
            <w:rStyle w:val="Hyperlink"/>
            <w:shd w:val="clear" w:color="auto" w:fill="FFFFFF"/>
          </w:rPr>
          <w:t>https://doi.org/10.1177/0014402915619419</w:t>
        </w:r>
      </w:hyperlink>
    </w:p>
    <w:p w14:paraId="53AFE20F" w14:textId="452CA05E" w:rsidR="00F53ECF" w:rsidRPr="00F96556" w:rsidRDefault="00A40093" w:rsidP="00810D04">
      <w:pPr>
        <w:widowControl w:val="0"/>
        <w:spacing w:line="480" w:lineRule="auto"/>
        <w:ind w:left="720" w:hanging="720"/>
      </w:pPr>
      <w:r w:rsidRPr="00F96556">
        <w:t xml:space="preserve">Wolf, M. M. (1978). Social validity: The case for subjective measurement or how applied behavior analysis is finding its heart. </w:t>
      </w:r>
      <w:r w:rsidRPr="00F96556">
        <w:rPr>
          <w:i/>
        </w:rPr>
        <w:t>Journal of Applied Behavior Analysis</w:t>
      </w:r>
      <w:r w:rsidRPr="00F96556">
        <w:t xml:space="preserve">, </w:t>
      </w:r>
      <w:r w:rsidRPr="00F96556">
        <w:rPr>
          <w:i/>
        </w:rPr>
        <w:t>11</w:t>
      </w:r>
      <w:r w:rsidRPr="00F96556">
        <w:t xml:space="preserve">(2), 203-214. </w:t>
      </w:r>
      <w:hyperlink r:id="rId33" w:history="1">
        <w:r w:rsidR="00C60FCE" w:rsidRPr="00F96556">
          <w:rPr>
            <w:rStyle w:val="Hyperlink"/>
          </w:rPr>
          <w:t>https://doi.org/10.1901/jaba.1978.11-203</w:t>
        </w:r>
      </w:hyperlink>
    </w:p>
    <w:sectPr w:rsidR="00F53ECF" w:rsidRPr="00F96556" w:rsidSect="005A4D7C">
      <w:headerReference w:type="even" r:id="rId34"/>
      <w:headerReference w:type="default" r:id="rId35"/>
      <w:footerReference w:type="even" r:id="rId36"/>
      <w:footerReference w:type="default" r:id="rId37"/>
      <w:headerReference w:type="first" r:id="rId38"/>
      <w:footerReference w:type="first" r:id="rId39"/>
      <w:pgSz w:w="12240" w:h="15840"/>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77948" w14:textId="77777777" w:rsidR="00F34556" w:rsidRDefault="00F34556" w:rsidP="009B449A">
      <w:r>
        <w:separator/>
      </w:r>
    </w:p>
  </w:endnote>
  <w:endnote w:type="continuationSeparator" w:id="0">
    <w:p w14:paraId="68639439" w14:textId="77777777" w:rsidR="00F34556" w:rsidRDefault="00F34556" w:rsidP="009B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CBB3" w14:textId="77777777" w:rsidR="0080437E" w:rsidRDefault="0080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3CB6" w14:textId="77777777" w:rsidR="0080437E" w:rsidRDefault="00804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D702" w14:textId="77777777" w:rsidR="0080437E" w:rsidRDefault="0080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FEEF" w14:textId="77777777" w:rsidR="00F34556" w:rsidRDefault="00F34556" w:rsidP="009B449A">
      <w:r>
        <w:separator/>
      </w:r>
    </w:p>
  </w:footnote>
  <w:footnote w:type="continuationSeparator" w:id="0">
    <w:p w14:paraId="27E52A9E" w14:textId="77777777" w:rsidR="00F34556" w:rsidRDefault="00F34556" w:rsidP="009B449A">
      <w:r>
        <w:continuationSeparator/>
      </w:r>
    </w:p>
  </w:footnote>
  <w:footnote w:id="1">
    <w:p w14:paraId="156F0E9A" w14:textId="24879021" w:rsidR="00EC7975" w:rsidRPr="004F2394" w:rsidRDefault="00EC7975" w:rsidP="004F2394">
      <w:pPr>
        <w:pStyle w:val="FootnoteText"/>
        <w:ind w:left="90"/>
      </w:pPr>
      <w:r w:rsidRPr="004D5996">
        <w:rPr>
          <w:rStyle w:val="FootnoteReference"/>
          <w:sz w:val="20"/>
          <w:szCs w:val="20"/>
        </w:rPr>
        <w:footnoteRef/>
      </w:r>
      <w:r w:rsidRPr="004D5996">
        <w:rPr>
          <w:sz w:val="20"/>
          <w:szCs w:val="20"/>
        </w:rPr>
        <w:t xml:space="preserve"> </w:t>
      </w:r>
      <w:r w:rsidRPr="009D61B1">
        <w:rPr>
          <w:sz w:val="20"/>
          <w:szCs w:val="20"/>
        </w:rPr>
        <w:t>Please note that there are two additional published studies on the Question Exploration Routine that validate the use of the routine within inclusive classes (Bulgren et al., 2009; Bulgren et al., 2013).</w:t>
      </w:r>
      <w:r w:rsidRPr="004F2394">
        <w:t xml:space="preserve"> </w:t>
      </w:r>
    </w:p>
  </w:footnote>
  <w:footnote w:id="2">
    <w:p w14:paraId="7DF9DC27" w14:textId="35C7F239" w:rsidR="00EC7975" w:rsidRPr="009D7A1A" w:rsidRDefault="00EC7975">
      <w:pPr>
        <w:pStyle w:val="FootnoteText"/>
        <w:rPr>
          <w:sz w:val="20"/>
          <w:szCs w:val="20"/>
        </w:rPr>
      </w:pPr>
      <w:r>
        <w:rPr>
          <w:rStyle w:val="FootnoteReference"/>
        </w:rPr>
        <w:footnoteRef/>
      </w:r>
      <w:r>
        <w:t xml:space="preserve"> </w:t>
      </w:r>
      <w:r w:rsidRPr="009D7A1A">
        <w:rPr>
          <w:sz w:val="20"/>
          <w:szCs w:val="20"/>
        </w:rPr>
        <w:t xml:space="preserve">In one of the studies (Bulgren et al., 1988), 57% of the students with LD were passing the test during baseline. This was an outlier compared to the other studies, </w:t>
      </w:r>
      <w:r>
        <w:rPr>
          <w:sz w:val="20"/>
          <w:szCs w:val="20"/>
        </w:rPr>
        <w:t>possibly because the test was a publisher-made test, and the tests used in the three other studies were researcher-made tests.</w:t>
      </w:r>
      <w:r w:rsidRPr="009D7A1A">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D55F" w14:textId="77777777" w:rsidR="0080437E" w:rsidRDefault="0080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A5B3" w14:textId="0144B469" w:rsidR="00EC7975" w:rsidRDefault="00EC7975" w:rsidP="00B60BCC">
    <w:pPr>
      <w:pStyle w:val="Header"/>
      <w:tabs>
        <w:tab w:val="clear" w:pos="4320"/>
        <w:tab w:val="clear" w:pos="8640"/>
        <w:tab w:val="center" w:pos="2430"/>
        <w:tab w:val="right" w:pos="9360"/>
      </w:tabs>
    </w:pPr>
    <w:r>
      <w:t>CONTENT ENHANCEMENT REVIEW</w:t>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334849"/>
      <w:docPartObj>
        <w:docPartGallery w:val="Page Numbers (Top of Page)"/>
        <w:docPartUnique/>
      </w:docPartObj>
    </w:sdtPr>
    <w:sdtEndPr>
      <w:rPr>
        <w:noProof/>
      </w:rPr>
    </w:sdtEndPr>
    <w:sdtContent>
      <w:p w14:paraId="7BD31E65" w14:textId="079C2C7C" w:rsidR="00EC7975" w:rsidRDefault="00EC7975" w:rsidP="00004043">
        <w:pPr>
          <w:pStyle w:val="Header"/>
          <w:tabs>
            <w:tab w:val="clear" w:pos="4320"/>
            <w:tab w:val="clear" w:pos="8640"/>
            <w:tab w:val="left" w:pos="9360"/>
          </w:tabs>
          <w:jc w:val="right"/>
        </w:pPr>
        <w:r>
          <w:t>CONTENT ENHANCEMENT REVIEW</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0EC7"/>
    <w:multiLevelType w:val="hybridMultilevel"/>
    <w:tmpl w:val="44D6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D0A69"/>
    <w:multiLevelType w:val="hybridMultilevel"/>
    <w:tmpl w:val="18CC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2D"/>
    <w:rsid w:val="00001AB4"/>
    <w:rsid w:val="00004043"/>
    <w:rsid w:val="00016F7A"/>
    <w:rsid w:val="00017E0E"/>
    <w:rsid w:val="00022753"/>
    <w:rsid w:val="00033841"/>
    <w:rsid w:val="00037A7E"/>
    <w:rsid w:val="000428EB"/>
    <w:rsid w:val="00043240"/>
    <w:rsid w:val="00043361"/>
    <w:rsid w:val="00053628"/>
    <w:rsid w:val="00054063"/>
    <w:rsid w:val="00056359"/>
    <w:rsid w:val="00062F66"/>
    <w:rsid w:val="00064B2F"/>
    <w:rsid w:val="00067AE1"/>
    <w:rsid w:val="00067BC0"/>
    <w:rsid w:val="0007214B"/>
    <w:rsid w:val="0008016E"/>
    <w:rsid w:val="00080BE4"/>
    <w:rsid w:val="00081A85"/>
    <w:rsid w:val="00091145"/>
    <w:rsid w:val="00093BBA"/>
    <w:rsid w:val="000945EE"/>
    <w:rsid w:val="00095152"/>
    <w:rsid w:val="000A4311"/>
    <w:rsid w:val="000A7CD7"/>
    <w:rsid w:val="000B5D65"/>
    <w:rsid w:val="000B76D2"/>
    <w:rsid w:val="000C03A5"/>
    <w:rsid w:val="000C1042"/>
    <w:rsid w:val="000C1F3E"/>
    <w:rsid w:val="000C5B24"/>
    <w:rsid w:val="000C673C"/>
    <w:rsid w:val="000D2A8A"/>
    <w:rsid w:val="000E3DD2"/>
    <w:rsid w:val="000F01D2"/>
    <w:rsid w:val="000F1002"/>
    <w:rsid w:val="000F4101"/>
    <w:rsid w:val="000F46C3"/>
    <w:rsid w:val="000F4D1D"/>
    <w:rsid w:val="000F65D5"/>
    <w:rsid w:val="001024D3"/>
    <w:rsid w:val="00105068"/>
    <w:rsid w:val="00105721"/>
    <w:rsid w:val="00113F6F"/>
    <w:rsid w:val="00117365"/>
    <w:rsid w:val="00121586"/>
    <w:rsid w:val="00122776"/>
    <w:rsid w:val="001229B0"/>
    <w:rsid w:val="00125C9E"/>
    <w:rsid w:val="0012743F"/>
    <w:rsid w:val="00147857"/>
    <w:rsid w:val="0015230B"/>
    <w:rsid w:val="001531FC"/>
    <w:rsid w:val="001622B5"/>
    <w:rsid w:val="001741B0"/>
    <w:rsid w:val="00176F54"/>
    <w:rsid w:val="0017736B"/>
    <w:rsid w:val="00181A40"/>
    <w:rsid w:val="00182DA7"/>
    <w:rsid w:val="001854F8"/>
    <w:rsid w:val="0018706C"/>
    <w:rsid w:val="001870A6"/>
    <w:rsid w:val="001B1402"/>
    <w:rsid w:val="001B198B"/>
    <w:rsid w:val="001B532E"/>
    <w:rsid w:val="001C1872"/>
    <w:rsid w:val="001C416C"/>
    <w:rsid w:val="001D579D"/>
    <w:rsid w:val="001D7610"/>
    <w:rsid w:val="001E1E15"/>
    <w:rsid w:val="001E448B"/>
    <w:rsid w:val="001E57BA"/>
    <w:rsid w:val="001E5E0B"/>
    <w:rsid w:val="001E7FDA"/>
    <w:rsid w:val="001F105A"/>
    <w:rsid w:val="001F409A"/>
    <w:rsid w:val="001F6545"/>
    <w:rsid w:val="002031F4"/>
    <w:rsid w:val="002034E8"/>
    <w:rsid w:val="00211A3C"/>
    <w:rsid w:val="00214607"/>
    <w:rsid w:val="002160A9"/>
    <w:rsid w:val="00217A16"/>
    <w:rsid w:val="00225035"/>
    <w:rsid w:val="00232A03"/>
    <w:rsid w:val="00232D8C"/>
    <w:rsid w:val="00233912"/>
    <w:rsid w:val="002365F0"/>
    <w:rsid w:val="00236F5E"/>
    <w:rsid w:val="002408DB"/>
    <w:rsid w:val="00241CFD"/>
    <w:rsid w:val="00242C05"/>
    <w:rsid w:val="0024440F"/>
    <w:rsid w:val="00245FBF"/>
    <w:rsid w:val="00252F26"/>
    <w:rsid w:val="00253559"/>
    <w:rsid w:val="002543B7"/>
    <w:rsid w:val="00257AE2"/>
    <w:rsid w:val="00265DD3"/>
    <w:rsid w:val="00270093"/>
    <w:rsid w:val="0027137C"/>
    <w:rsid w:val="0027784D"/>
    <w:rsid w:val="002807B7"/>
    <w:rsid w:val="00281B8C"/>
    <w:rsid w:val="00283C94"/>
    <w:rsid w:val="002846E4"/>
    <w:rsid w:val="00286EDF"/>
    <w:rsid w:val="00291729"/>
    <w:rsid w:val="00293B5E"/>
    <w:rsid w:val="002A1AD2"/>
    <w:rsid w:val="002B0951"/>
    <w:rsid w:val="002B435D"/>
    <w:rsid w:val="002B678C"/>
    <w:rsid w:val="002B7295"/>
    <w:rsid w:val="002C1BDD"/>
    <w:rsid w:val="002C5186"/>
    <w:rsid w:val="002C59EC"/>
    <w:rsid w:val="002D1D5C"/>
    <w:rsid w:val="002D626F"/>
    <w:rsid w:val="002E1DEF"/>
    <w:rsid w:val="002E5702"/>
    <w:rsid w:val="002E7424"/>
    <w:rsid w:val="002F3962"/>
    <w:rsid w:val="002F39C1"/>
    <w:rsid w:val="002F7B8E"/>
    <w:rsid w:val="003003D5"/>
    <w:rsid w:val="003036E0"/>
    <w:rsid w:val="00312622"/>
    <w:rsid w:val="00316C90"/>
    <w:rsid w:val="003206C9"/>
    <w:rsid w:val="0032216C"/>
    <w:rsid w:val="00323FD5"/>
    <w:rsid w:val="003254C8"/>
    <w:rsid w:val="003271D3"/>
    <w:rsid w:val="00330C3B"/>
    <w:rsid w:val="003334BE"/>
    <w:rsid w:val="00342DBD"/>
    <w:rsid w:val="00343D10"/>
    <w:rsid w:val="00344416"/>
    <w:rsid w:val="003461D7"/>
    <w:rsid w:val="003470DC"/>
    <w:rsid w:val="003517C7"/>
    <w:rsid w:val="0035622D"/>
    <w:rsid w:val="00362A3C"/>
    <w:rsid w:val="00367CEF"/>
    <w:rsid w:val="00371127"/>
    <w:rsid w:val="00372932"/>
    <w:rsid w:val="00374DCE"/>
    <w:rsid w:val="00385284"/>
    <w:rsid w:val="003877D7"/>
    <w:rsid w:val="00387F1E"/>
    <w:rsid w:val="00393E06"/>
    <w:rsid w:val="003971E9"/>
    <w:rsid w:val="003A10C9"/>
    <w:rsid w:val="003A19A9"/>
    <w:rsid w:val="003A499B"/>
    <w:rsid w:val="003A52EE"/>
    <w:rsid w:val="003A646B"/>
    <w:rsid w:val="003B23E7"/>
    <w:rsid w:val="003B3219"/>
    <w:rsid w:val="003B4301"/>
    <w:rsid w:val="003B7066"/>
    <w:rsid w:val="003B7C50"/>
    <w:rsid w:val="003C22B6"/>
    <w:rsid w:val="003D1869"/>
    <w:rsid w:val="003D5613"/>
    <w:rsid w:val="003E2A42"/>
    <w:rsid w:val="003E2FAB"/>
    <w:rsid w:val="003E6CA1"/>
    <w:rsid w:val="003E7F16"/>
    <w:rsid w:val="003F5466"/>
    <w:rsid w:val="003F7F75"/>
    <w:rsid w:val="00400EAE"/>
    <w:rsid w:val="00403544"/>
    <w:rsid w:val="004051C2"/>
    <w:rsid w:val="004067AC"/>
    <w:rsid w:val="00406B7B"/>
    <w:rsid w:val="00417B1B"/>
    <w:rsid w:val="00420D82"/>
    <w:rsid w:val="0043156F"/>
    <w:rsid w:val="00432625"/>
    <w:rsid w:val="00437EB3"/>
    <w:rsid w:val="004412C2"/>
    <w:rsid w:val="004431A8"/>
    <w:rsid w:val="00453801"/>
    <w:rsid w:val="00457531"/>
    <w:rsid w:val="0046437C"/>
    <w:rsid w:val="00464739"/>
    <w:rsid w:val="004665DD"/>
    <w:rsid w:val="00470263"/>
    <w:rsid w:val="004708E6"/>
    <w:rsid w:val="0047311E"/>
    <w:rsid w:val="004841A1"/>
    <w:rsid w:val="0049123D"/>
    <w:rsid w:val="00492E5E"/>
    <w:rsid w:val="00494C75"/>
    <w:rsid w:val="004954E0"/>
    <w:rsid w:val="00496D62"/>
    <w:rsid w:val="004A3B5C"/>
    <w:rsid w:val="004A48C7"/>
    <w:rsid w:val="004A553B"/>
    <w:rsid w:val="004B1103"/>
    <w:rsid w:val="004B4723"/>
    <w:rsid w:val="004B4966"/>
    <w:rsid w:val="004C1928"/>
    <w:rsid w:val="004C4279"/>
    <w:rsid w:val="004D3061"/>
    <w:rsid w:val="004D3E2D"/>
    <w:rsid w:val="004D5996"/>
    <w:rsid w:val="004E0F2A"/>
    <w:rsid w:val="004F2394"/>
    <w:rsid w:val="004F6077"/>
    <w:rsid w:val="00503C71"/>
    <w:rsid w:val="0050435D"/>
    <w:rsid w:val="00506A5A"/>
    <w:rsid w:val="00510FF0"/>
    <w:rsid w:val="00511940"/>
    <w:rsid w:val="005175C6"/>
    <w:rsid w:val="005204FC"/>
    <w:rsid w:val="00520BB2"/>
    <w:rsid w:val="005221D4"/>
    <w:rsid w:val="0052230B"/>
    <w:rsid w:val="0052323C"/>
    <w:rsid w:val="0052519C"/>
    <w:rsid w:val="00526763"/>
    <w:rsid w:val="0052764D"/>
    <w:rsid w:val="005309D3"/>
    <w:rsid w:val="00530B2E"/>
    <w:rsid w:val="0053371C"/>
    <w:rsid w:val="00534D33"/>
    <w:rsid w:val="00543A2E"/>
    <w:rsid w:val="00544990"/>
    <w:rsid w:val="00544E54"/>
    <w:rsid w:val="0054502D"/>
    <w:rsid w:val="0055033E"/>
    <w:rsid w:val="00553621"/>
    <w:rsid w:val="00553B2D"/>
    <w:rsid w:val="005564F2"/>
    <w:rsid w:val="00566B95"/>
    <w:rsid w:val="005729D0"/>
    <w:rsid w:val="005734AE"/>
    <w:rsid w:val="00574B65"/>
    <w:rsid w:val="00575BE9"/>
    <w:rsid w:val="00576894"/>
    <w:rsid w:val="00583BD3"/>
    <w:rsid w:val="005841F3"/>
    <w:rsid w:val="00585B92"/>
    <w:rsid w:val="00587002"/>
    <w:rsid w:val="00592A62"/>
    <w:rsid w:val="005968FC"/>
    <w:rsid w:val="00597613"/>
    <w:rsid w:val="005A024B"/>
    <w:rsid w:val="005A4D7C"/>
    <w:rsid w:val="005A648E"/>
    <w:rsid w:val="005C0D5C"/>
    <w:rsid w:val="005C56DC"/>
    <w:rsid w:val="005D0779"/>
    <w:rsid w:val="005D22AE"/>
    <w:rsid w:val="005E0A89"/>
    <w:rsid w:val="005E237C"/>
    <w:rsid w:val="005E427F"/>
    <w:rsid w:val="00602463"/>
    <w:rsid w:val="00605324"/>
    <w:rsid w:val="006075CE"/>
    <w:rsid w:val="006105A4"/>
    <w:rsid w:val="0062004B"/>
    <w:rsid w:val="00626546"/>
    <w:rsid w:val="00627B95"/>
    <w:rsid w:val="006344C4"/>
    <w:rsid w:val="006434F2"/>
    <w:rsid w:val="006447CD"/>
    <w:rsid w:val="00651D5B"/>
    <w:rsid w:val="00662D22"/>
    <w:rsid w:val="00663620"/>
    <w:rsid w:val="00664188"/>
    <w:rsid w:val="00665378"/>
    <w:rsid w:val="00672906"/>
    <w:rsid w:val="00677B56"/>
    <w:rsid w:val="00680A06"/>
    <w:rsid w:val="00685EE6"/>
    <w:rsid w:val="006A5E14"/>
    <w:rsid w:val="006B5730"/>
    <w:rsid w:val="006B6CFB"/>
    <w:rsid w:val="006C0690"/>
    <w:rsid w:val="006C37A5"/>
    <w:rsid w:val="006C5896"/>
    <w:rsid w:val="006D19FB"/>
    <w:rsid w:val="006D350C"/>
    <w:rsid w:val="006D750E"/>
    <w:rsid w:val="006E1B1B"/>
    <w:rsid w:val="006E1F47"/>
    <w:rsid w:val="006E49A4"/>
    <w:rsid w:val="006E5952"/>
    <w:rsid w:val="006E779A"/>
    <w:rsid w:val="006F34D4"/>
    <w:rsid w:val="006F55C9"/>
    <w:rsid w:val="0070174A"/>
    <w:rsid w:val="007017FC"/>
    <w:rsid w:val="00703A2C"/>
    <w:rsid w:val="00704A97"/>
    <w:rsid w:val="00704EDD"/>
    <w:rsid w:val="00712C42"/>
    <w:rsid w:val="0072114F"/>
    <w:rsid w:val="0072173B"/>
    <w:rsid w:val="00726650"/>
    <w:rsid w:val="0073652D"/>
    <w:rsid w:val="0074013C"/>
    <w:rsid w:val="00742D07"/>
    <w:rsid w:val="0074425B"/>
    <w:rsid w:val="0074560C"/>
    <w:rsid w:val="00745805"/>
    <w:rsid w:val="00752A36"/>
    <w:rsid w:val="0075420C"/>
    <w:rsid w:val="007548AE"/>
    <w:rsid w:val="00754943"/>
    <w:rsid w:val="0075582C"/>
    <w:rsid w:val="00760631"/>
    <w:rsid w:val="007613DE"/>
    <w:rsid w:val="0076465E"/>
    <w:rsid w:val="007805DE"/>
    <w:rsid w:val="00781B31"/>
    <w:rsid w:val="00785FEE"/>
    <w:rsid w:val="0079397E"/>
    <w:rsid w:val="007945C3"/>
    <w:rsid w:val="00796DAB"/>
    <w:rsid w:val="007B0575"/>
    <w:rsid w:val="007B50A5"/>
    <w:rsid w:val="007C02D2"/>
    <w:rsid w:val="007C491C"/>
    <w:rsid w:val="007C5B60"/>
    <w:rsid w:val="007C5DD4"/>
    <w:rsid w:val="007C5F0F"/>
    <w:rsid w:val="007C6C5C"/>
    <w:rsid w:val="007C6FBD"/>
    <w:rsid w:val="007D3FAD"/>
    <w:rsid w:val="007E56F2"/>
    <w:rsid w:val="007E5ADE"/>
    <w:rsid w:val="007F0FFF"/>
    <w:rsid w:val="007F75E5"/>
    <w:rsid w:val="00801527"/>
    <w:rsid w:val="00803913"/>
    <w:rsid w:val="0080437E"/>
    <w:rsid w:val="00804669"/>
    <w:rsid w:val="0080486F"/>
    <w:rsid w:val="0080581D"/>
    <w:rsid w:val="00810D04"/>
    <w:rsid w:val="0081276F"/>
    <w:rsid w:val="008130FC"/>
    <w:rsid w:val="00813993"/>
    <w:rsid w:val="008171B2"/>
    <w:rsid w:val="00825E64"/>
    <w:rsid w:val="008303AA"/>
    <w:rsid w:val="008322C3"/>
    <w:rsid w:val="008326A6"/>
    <w:rsid w:val="00841299"/>
    <w:rsid w:val="008430F4"/>
    <w:rsid w:val="00844B51"/>
    <w:rsid w:val="00852A79"/>
    <w:rsid w:val="008532B3"/>
    <w:rsid w:val="00856622"/>
    <w:rsid w:val="00861022"/>
    <w:rsid w:val="00864507"/>
    <w:rsid w:val="00864A6D"/>
    <w:rsid w:val="00866742"/>
    <w:rsid w:val="0086757E"/>
    <w:rsid w:val="00867606"/>
    <w:rsid w:val="00875B16"/>
    <w:rsid w:val="008810A3"/>
    <w:rsid w:val="00882753"/>
    <w:rsid w:val="008832A1"/>
    <w:rsid w:val="00884656"/>
    <w:rsid w:val="00884747"/>
    <w:rsid w:val="008847AE"/>
    <w:rsid w:val="00887BE6"/>
    <w:rsid w:val="00887C6E"/>
    <w:rsid w:val="00897350"/>
    <w:rsid w:val="008973CE"/>
    <w:rsid w:val="008A2F6B"/>
    <w:rsid w:val="008A6246"/>
    <w:rsid w:val="008A72CD"/>
    <w:rsid w:val="008B08E2"/>
    <w:rsid w:val="008B1DC1"/>
    <w:rsid w:val="008B3A1A"/>
    <w:rsid w:val="008B47CD"/>
    <w:rsid w:val="008B6123"/>
    <w:rsid w:val="008C1D86"/>
    <w:rsid w:val="008C31DF"/>
    <w:rsid w:val="008D0BE6"/>
    <w:rsid w:val="008D34D1"/>
    <w:rsid w:val="008D4323"/>
    <w:rsid w:val="008D6CE4"/>
    <w:rsid w:val="008E7EAD"/>
    <w:rsid w:val="008F050C"/>
    <w:rsid w:val="008F0D27"/>
    <w:rsid w:val="008F7BDA"/>
    <w:rsid w:val="00900F91"/>
    <w:rsid w:val="00906618"/>
    <w:rsid w:val="0091354B"/>
    <w:rsid w:val="009263CA"/>
    <w:rsid w:val="00930616"/>
    <w:rsid w:val="00944F61"/>
    <w:rsid w:val="00947B35"/>
    <w:rsid w:val="009505C9"/>
    <w:rsid w:val="00951CDA"/>
    <w:rsid w:val="0096756D"/>
    <w:rsid w:val="00981570"/>
    <w:rsid w:val="0098530C"/>
    <w:rsid w:val="009A0314"/>
    <w:rsid w:val="009A3B4D"/>
    <w:rsid w:val="009B2686"/>
    <w:rsid w:val="009B449A"/>
    <w:rsid w:val="009C54A2"/>
    <w:rsid w:val="009D1D38"/>
    <w:rsid w:val="009D361B"/>
    <w:rsid w:val="009D4F63"/>
    <w:rsid w:val="009D61B1"/>
    <w:rsid w:val="009D7A1A"/>
    <w:rsid w:val="009E1CCB"/>
    <w:rsid w:val="009F17C4"/>
    <w:rsid w:val="009F6428"/>
    <w:rsid w:val="009F6817"/>
    <w:rsid w:val="00A03249"/>
    <w:rsid w:val="00A0327C"/>
    <w:rsid w:val="00A06C78"/>
    <w:rsid w:val="00A071E3"/>
    <w:rsid w:val="00A074DD"/>
    <w:rsid w:val="00A107B5"/>
    <w:rsid w:val="00A147FB"/>
    <w:rsid w:val="00A200F6"/>
    <w:rsid w:val="00A22595"/>
    <w:rsid w:val="00A229C6"/>
    <w:rsid w:val="00A3108B"/>
    <w:rsid w:val="00A3145E"/>
    <w:rsid w:val="00A315D1"/>
    <w:rsid w:val="00A3654D"/>
    <w:rsid w:val="00A37D7C"/>
    <w:rsid w:val="00A40093"/>
    <w:rsid w:val="00A417DB"/>
    <w:rsid w:val="00A43D3D"/>
    <w:rsid w:val="00A4597F"/>
    <w:rsid w:val="00A47D94"/>
    <w:rsid w:val="00A53199"/>
    <w:rsid w:val="00A54EF0"/>
    <w:rsid w:val="00A569F8"/>
    <w:rsid w:val="00A56E18"/>
    <w:rsid w:val="00A62D6E"/>
    <w:rsid w:val="00A704C4"/>
    <w:rsid w:val="00A72A6F"/>
    <w:rsid w:val="00A772D0"/>
    <w:rsid w:val="00A774B4"/>
    <w:rsid w:val="00A84EB5"/>
    <w:rsid w:val="00A9226B"/>
    <w:rsid w:val="00A927D0"/>
    <w:rsid w:val="00A9398A"/>
    <w:rsid w:val="00AA28F9"/>
    <w:rsid w:val="00AA3D84"/>
    <w:rsid w:val="00AA686C"/>
    <w:rsid w:val="00AB2C36"/>
    <w:rsid w:val="00AC4E65"/>
    <w:rsid w:val="00AC6DAC"/>
    <w:rsid w:val="00AC6E1D"/>
    <w:rsid w:val="00AD1C67"/>
    <w:rsid w:val="00AD252E"/>
    <w:rsid w:val="00AD2FFD"/>
    <w:rsid w:val="00AD3BD6"/>
    <w:rsid w:val="00AD62F9"/>
    <w:rsid w:val="00AE7D88"/>
    <w:rsid w:val="00AF1979"/>
    <w:rsid w:val="00AF2941"/>
    <w:rsid w:val="00AF373E"/>
    <w:rsid w:val="00AF56F1"/>
    <w:rsid w:val="00B0504D"/>
    <w:rsid w:val="00B0765F"/>
    <w:rsid w:val="00B12A2A"/>
    <w:rsid w:val="00B15867"/>
    <w:rsid w:val="00B24352"/>
    <w:rsid w:val="00B24433"/>
    <w:rsid w:val="00B254BE"/>
    <w:rsid w:val="00B266BA"/>
    <w:rsid w:val="00B30750"/>
    <w:rsid w:val="00B315E5"/>
    <w:rsid w:val="00B3334F"/>
    <w:rsid w:val="00B35F86"/>
    <w:rsid w:val="00B41410"/>
    <w:rsid w:val="00B45A98"/>
    <w:rsid w:val="00B47D87"/>
    <w:rsid w:val="00B50424"/>
    <w:rsid w:val="00B50592"/>
    <w:rsid w:val="00B54D1B"/>
    <w:rsid w:val="00B559F1"/>
    <w:rsid w:val="00B60BCC"/>
    <w:rsid w:val="00B67997"/>
    <w:rsid w:val="00B72528"/>
    <w:rsid w:val="00B72798"/>
    <w:rsid w:val="00B729A1"/>
    <w:rsid w:val="00B744D2"/>
    <w:rsid w:val="00B752D4"/>
    <w:rsid w:val="00B75ED8"/>
    <w:rsid w:val="00B80D3D"/>
    <w:rsid w:val="00B911FE"/>
    <w:rsid w:val="00B945F1"/>
    <w:rsid w:val="00B94616"/>
    <w:rsid w:val="00B947EA"/>
    <w:rsid w:val="00B951D2"/>
    <w:rsid w:val="00B953AF"/>
    <w:rsid w:val="00B97B3C"/>
    <w:rsid w:val="00BA1638"/>
    <w:rsid w:val="00BA2F64"/>
    <w:rsid w:val="00BA3144"/>
    <w:rsid w:val="00BA3DB2"/>
    <w:rsid w:val="00BA40C9"/>
    <w:rsid w:val="00BA516A"/>
    <w:rsid w:val="00BB01FC"/>
    <w:rsid w:val="00BD434A"/>
    <w:rsid w:val="00BD7382"/>
    <w:rsid w:val="00BE01D0"/>
    <w:rsid w:val="00BE34E0"/>
    <w:rsid w:val="00BE5978"/>
    <w:rsid w:val="00BE6352"/>
    <w:rsid w:val="00BF34D0"/>
    <w:rsid w:val="00BF600C"/>
    <w:rsid w:val="00C00C47"/>
    <w:rsid w:val="00C06CED"/>
    <w:rsid w:val="00C1084E"/>
    <w:rsid w:val="00C12905"/>
    <w:rsid w:val="00C14696"/>
    <w:rsid w:val="00C157AF"/>
    <w:rsid w:val="00C20699"/>
    <w:rsid w:val="00C2254E"/>
    <w:rsid w:val="00C30626"/>
    <w:rsid w:val="00C35FA1"/>
    <w:rsid w:val="00C37CDB"/>
    <w:rsid w:val="00C4221C"/>
    <w:rsid w:val="00C428AA"/>
    <w:rsid w:val="00C462D4"/>
    <w:rsid w:val="00C47BA0"/>
    <w:rsid w:val="00C531F3"/>
    <w:rsid w:val="00C60FCE"/>
    <w:rsid w:val="00C628C3"/>
    <w:rsid w:val="00C637A9"/>
    <w:rsid w:val="00C641DF"/>
    <w:rsid w:val="00C642F5"/>
    <w:rsid w:val="00C83013"/>
    <w:rsid w:val="00C84E80"/>
    <w:rsid w:val="00C874D9"/>
    <w:rsid w:val="00C877E5"/>
    <w:rsid w:val="00C95CED"/>
    <w:rsid w:val="00CA06C3"/>
    <w:rsid w:val="00CA1882"/>
    <w:rsid w:val="00CA74E1"/>
    <w:rsid w:val="00CA7829"/>
    <w:rsid w:val="00CB1AD3"/>
    <w:rsid w:val="00CB2F42"/>
    <w:rsid w:val="00CB3C7A"/>
    <w:rsid w:val="00CC050F"/>
    <w:rsid w:val="00CC0963"/>
    <w:rsid w:val="00CC7D57"/>
    <w:rsid w:val="00CD0769"/>
    <w:rsid w:val="00CD0FD2"/>
    <w:rsid w:val="00CD31EE"/>
    <w:rsid w:val="00CD3BE2"/>
    <w:rsid w:val="00CD40ED"/>
    <w:rsid w:val="00CE0B6C"/>
    <w:rsid w:val="00CE5D2D"/>
    <w:rsid w:val="00CE7924"/>
    <w:rsid w:val="00CF0B93"/>
    <w:rsid w:val="00CF1CC7"/>
    <w:rsid w:val="00CF22E5"/>
    <w:rsid w:val="00CF3259"/>
    <w:rsid w:val="00CF4080"/>
    <w:rsid w:val="00CF4CDD"/>
    <w:rsid w:val="00CF6638"/>
    <w:rsid w:val="00CF70DA"/>
    <w:rsid w:val="00D0380E"/>
    <w:rsid w:val="00D039D9"/>
    <w:rsid w:val="00D04079"/>
    <w:rsid w:val="00D11810"/>
    <w:rsid w:val="00D1221E"/>
    <w:rsid w:val="00D13172"/>
    <w:rsid w:val="00D160E1"/>
    <w:rsid w:val="00D16BB9"/>
    <w:rsid w:val="00D17021"/>
    <w:rsid w:val="00D17F35"/>
    <w:rsid w:val="00D32545"/>
    <w:rsid w:val="00D4145D"/>
    <w:rsid w:val="00D42FFA"/>
    <w:rsid w:val="00D4674B"/>
    <w:rsid w:val="00D55C6B"/>
    <w:rsid w:val="00D66703"/>
    <w:rsid w:val="00D7018F"/>
    <w:rsid w:val="00D728D7"/>
    <w:rsid w:val="00D72C34"/>
    <w:rsid w:val="00D73B4C"/>
    <w:rsid w:val="00D75329"/>
    <w:rsid w:val="00D7676A"/>
    <w:rsid w:val="00D77E11"/>
    <w:rsid w:val="00D83383"/>
    <w:rsid w:val="00D85757"/>
    <w:rsid w:val="00D86770"/>
    <w:rsid w:val="00D9180F"/>
    <w:rsid w:val="00D94243"/>
    <w:rsid w:val="00D96FE6"/>
    <w:rsid w:val="00DA661A"/>
    <w:rsid w:val="00DA69B6"/>
    <w:rsid w:val="00DB4C96"/>
    <w:rsid w:val="00DB66A4"/>
    <w:rsid w:val="00DB7025"/>
    <w:rsid w:val="00DB77A8"/>
    <w:rsid w:val="00DC1B52"/>
    <w:rsid w:val="00DC49A9"/>
    <w:rsid w:val="00DC7ABF"/>
    <w:rsid w:val="00DC7C94"/>
    <w:rsid w:val="00DD5A8F"/>
    <w:rsid w:val="00DE05EA"/>
    <w:rsid w:val="00DE300F"/>
    <w:rsid w:val="00DE346F"/>
    <w:rsid w:val="00DE686F"/>
    <w:rsid w:val="00DE6F7E"/>
    <w:rsid w:val="00DF52AD"/>
    <w:rsid w:val="00DF76E0"/>
    <w:rsid w:val="00E0023D"/>
    <w:rsid w:val="00E0048C"/>
    <w:rsid w:val="00E0137E"/>
    <w:rsid w:val="00E01EC2"/>
    <w:rsid w:val="00E06D36"/>
    <w:rsid w:val="00E16132"/>
    <w:rsid w:val="00E17D79"/>
    <w:rsid w:val="00E26178"/>
    <w:rsid w:val="00E27B0D"/>
    <w:rsid w:val="00E30218"/>
    <w:rsid w:val="00E32375"/>
    <w:rsid w:val="00E32D68"/>
    <w:rsid w:val="00E3451F"/>
    <w:rsid w:val="00E348B7"/>
    <w:rsid w:val="00E41FD2"/>
    <w:rsid w:val="00E5377F"/>
    <w:rsid w:val="00E53B84"/>
    <w:rsid w:val="00E6166C"/>
    <w:rsid w:val="00E66268"/>
    <w:rsid w:val="00E662B0"/>
    <w:rsid w:val="00E7394F"/>
    <w:rsid w:val="00E757CA"/>
    <w:rsid w:val="00E76381"/>
    <w:rsid w:val="00E7693F"/>
    <w:rsid w:val="00E77EB2"/>
    <w:rsid w:val="00E871C8"/>
    <w:rsid w:val="00E9377D"/>
    <w:rsid w:val="00E94056"/>
    <w:rsid w:val="00E96E91"/>
    <w:rsid w:val="00EA0D53"/>
    <w:rsid w:val="00EA4667"/>
    <w:rsid w:val="00EA54BA"/>
    <w:rsid w:val="00EA69B4"/>
    <w:rsid w:val="00EB49DC"/>
    <w:rsid w:val="00EC226B"/>
    <w:rsid w:val="00EC7975"/>
    <w:rsid w:val="00ED03F4"/>
    <w:rsid w:val="00ED2AC0"/>
    <w:rsid w:val="00ED360B"/>
    <w:rsid w:val="00EE06D5"/>
    <w:rsid w:val="00EE09F1"/>
    <w:rsid w:val="00EE2180"/>
    <w:rsid w:val="00EE2FFF"/>
    <w:rsid w:val="00EE6893"/>
    <w:rsid w:val="00EE77FC"/>
    <w:rsid w:val="00EF3742"/>
    <w:rsid w:val="00EF5696"/>
    <w:rsid w:val="00EF76DF"/>
    <w:rsid w:val="00F01C21"/>
    <w:rsid w:val="00F059A1"/>
    <w:rsid w:val="00F13629"/>
    <w:rsid w:val="00F16068"/>
    <w:rsid w:val="00F21F60"/>
    <w:rsid w:val="00F34556"/>
    <w:rsid w:val="00F34C6E"/>
    <w:rsid w:val="00F46171"/>
    <w:rsid w:val="00F514C0"/>
    <w:rsid w:val="00F53CCF"/>
    <w:rsid w:val="00F53ECF"/>
    <w:rsid w:val="00F55403"/>
    <w:rsid w:val="00F7061E"/>
    <w:rsid w:val="00F70CAF"/>
    <w:rsid w:val="00F716AA"/>
    <w:rsid w:val="00F71FAB"/>
    <w:rsid w:val="00F7515B"/>
    <w:rsid w:val="00F77D37"/>
    <w:rsid w:val="00F82980"/>
    <w:rsid w:val="00F87CAA"/>
    <w:rsid w:val="00F96556"/>
    <w:rsid w:val="00FA070D"/>
    <w:rsid w:val="00FA1432"/>
    <w:rsid w:val="00FA5B4A"/>
    <w:rsid w:val="00FB2AFF"/>
    <w:rsid w:val="00FB4CE1"/>
    <w:rsid w:val="00FB6494"/>
    <w:rsid w:val="00FC78DB"/>
    <w:rsid w:val="00FE2921"/>
    <w:rsid w:val="00FE2F62"/>
    <w:rsid w:val="00FE31D1"/>
    <w:rsid w:val="00FE4EB4"/>
    <w:rsid w:val="00FE608C"/>
    <w:rsid w:val="00FF1EC0"/>
    <w:rsid w:val="00FF3253"/>
    <w:rsid w:val="00FF40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D032CC"/>
  <w15:docId w15:val="{FC6DFD60-D21A-194C-A6EA-6FD758F5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2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DF4"/>
    <w:rPr>
      <w:rFonts w:ascii="Lucida Grande" w:eastAsiaTheme="minorEastAsia" w:hAnsi="Lucida Grande" w:cstheme="minorBidi"/>
      <w:sz w:val="18"/>
      <w:szCs w:val="18"/>
      <w:lang w:eastAsia="ja-JP"/>
    </w:rPr>
  </w:style>
  <w:style w:type="paragraph" w:styleId="NormalWeb">
    <w:name w:val="Normal (Web)"/>
    <w:basedOn w:val="Normal"/>
    <w:uiPriority w:val="99"/>
    <w:semiHidden/>
    <w:unhideWhenUsed/>
    <w:rsid w:val="0074013C"/>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AD62F9"/>
    <w:pPr>
      <w:ind w:left="720"/>
      <w:contextualSpacing/>
    </w:pPr>
  </w:style>
  <w:style w:type="paragraph" w:styleId="FootnoteText">
    <w:name w:val="footnote text"/>
    <w:basedOn w:val="Normal"/>
    <w:link w:val="FootnoteTextChar"/>
    <w:uiPriority w:val="99"/>
    <w:unhideWhenUsed/>
    <w:rsid w:val="009B449A"/>
  </w:style>
  <w:style w:type="character" w:customStyle="1" w:styleId="FootnoteTextChar">
    <w:name w:val="Footnote Text Char"/>
    <w:basedOn w:val="DefaultParagraphFont"/>
    <w:link w:val="FootnoteText"/>
    <w:uiPriority w:val="99"/>
    <w:rsid w:val="009B449A"/>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9B449A"/>
    <w:rPr>
      <w:vertAlign w:val="superscript"/>
    </w:rPr>
  </w:style>
  <w:style w:type="character" w:styleId="Hyperlink">
    <w:name w:val="Hyperlink"/>
    <w:basedOn w:val="DefaultParagraphFont"/>
    <w:uiPriority w:val="99"/>
    <w:unhideWhenUsed/>
    <w:rsid w:val="007C5DD4"/>
    <w:rPr>
      <w:color w:val="0000FF" w:themeColor="hyperlink"/>
      <w:u w:val="single"/>
    </w:rPr>
  </w:style>
  <w:style w:type="paragraph" w:styleId="Header">
    <w:name w:val="header"/>
    <w:basedOn w:val="Normal"/>
    <w:link w:val="HeaderChar"/>
    <w:uiPriority w:val="99"/>
    <w:unhideWhenUsed/>
    <w:rsid w:val="00312622"/>
    <w:pPr>
      <w:tabs>
        <w:tab w:val="center" w:pos="4320"/>
        <w:tab w:val="right" w:pos="8640"/>
      </w:tabs>
    </w:pPr>
  </w:style>
  <w:style w:type="character" w:customStyle="1" w:styleId="HeaderChar">
    <w:name w:val="Header Char"/>
    <w:basedOn w:val="DefaultParagraphFont"/>
    <w:link w:val="Header"/>
    <w:uiPriority w:val="99"/>
    <w:rsid w:val="0031262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12622"/>
    <w:pPr>
      <w:tabs>
        <w:tab w:val="center" w:pos="4320"/>
        <w:tab w:val="right" w:pos="8640"/>
      </w:tabs>
    </w:pPr>
  </w:style>
  <w:style w:type="character" w:customStyle="1" w:styleId="FooterChar">
    <w:name w:val="Footer Char"/>
    <w:basedOn w:val="DefaultParagraphFont"/>
    <w:link w:val="Footer"/>
    <w:uiPriority w:val="99"/>
    <w:rsid w:val="00312622"/>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796DAB"/>
    <w:rPr>
      <w:color w:val="800080" w:themeColor="followedHyperlink"/>
      <w:u w:val="single"/>
    </w:rPr>
  </w:style>
  <w:style w:type="character" w:styleId="UnresolvedMention">
    <w:name w:val="Unresolved Mention"/>
    <w:basedOn w:val="DefaultParagraphFont"/>
    <w:uiPriority w:val="99"/>
    <w:semiHidden/>
    <w:unhideWhenUsed/>
    <w:rsid w:val="0054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doi.org/10.1111/j.1540-5826.2011.00346.x" TargetMode="External"/><Relationship Id="rId39" Type="http://schemas.openxmlformats.org/officeDocument/2006/relationships/footer" Target="footer3.xml"/><Relationship Id="rId21" Type="http://schemas.openxmlformats.org/officeDocument/2006/relationships/hyperlink" Target="https://doi.org/10.1037/0022-0663.99.3.445" TargetMode="External"/><Relationship Id="rId34" Type="http://schemas.openxmlformats.org/officeDocument/2006/relationships/header" Target="header1.xml"/><Relationship Id="rId7" Type="http://schemas.openxmlformats.org/officeDocument/2006/relationships/hyperlink" Target="mailto:jschumak@edgeenterprisesinc.com" TargetMode="External"/><Relationship Id="rId2" Type="http://schemas.openxmlformats.org/officeDocument/2006/relationships/styles" Target="styles.xml"/><Relationship Id="rId16" Type="http://schemas.openxmlformats.org/officeDocument/2006/relationships/hyperlink" Target="https://doi.org/10.1177/0014/40298605200611"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doi.org/10.1080/09638288.2017.1306586" TargetMode="External"/><Relationship Id="rId32" Type="http://schemas.openxmlformats.org/officeDocument/2006/relationships/hyperlink" Target="https://doi.org/10.1177/00144029156194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doi.org/10.1177/0022219497030000604" TargetMode="External"/><Relationship Id="rId28" Type="http://schemas.openxmlformats.org/officeDocument/2006/relationships/hyperlink" Target="https://doi.org/10.18666/LDMJ-2021-V26-I1-10362"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https://doi.org/10.1177/073194871103400104" TargetMode="External"/><Relationship Id="rId31" Type="http://schemas.openxmlformats.org/officeDocument/2006/relationships/hyperlink" Target="https://doi.org/10.1177/001440290006700107"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doi.org/10.1177/0198742918816447" TargetMode="External"/><Relationship Id="rId30" Type="http://schemas.openxmlformats.org/officeDocument/2006/relationships/hyperlink" Target="https://dx.doi.org/10.1177/074193259601700403" TargetMode="External"/><Relationship Id="rId35" Type="http://schemas.openxmlformats.org/officeDocument/2006/relationships/header" Target="header2.xml"/><Relationship Id="rId8" Type="http://schemas.openxmlformats.org/officeDocument/2006/relationships/hyperlink" Target="https://doi-org.ezproxy.gvsu.edu/10.1093/esr/jcw047" TargetMode="External"/><Relationship Id="rId3" Type="http://schemas.openxmlformats.org/officeDocument/2006/relationships/settings" Target="settings.xml"/><Relationship Id="rId12" Type="http://schemas.openxmlformats.org/officeDocument/2006/relationships/hyperlink" Target="https://doi.org/10.1080/10573560903120813" TargetMode="External"/><Relationship Id="rId17" Type="http://schemas.openxmlformats.org/officeDocument/2006/relationships/hyperlink" Target="https://doi.org/10.1177/004005990103300412" TargetMode="External"/><Relationship Id="rId25" Type="http://schemas.openxmlformats.org/officeDocument/2006/relationships/hyperlink" Target="about:blank" TargetMode="External"/><Relationship Id="rId33" Type="http://schemas.openxmlformats.org/officeDocument/2006/relationships/hyperlink" Target="https://doi.org/10.1901/jaba.1978.11-203"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39</Pages>
  <Words>11441</Words>
  <Characters>65216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Schumaker</dc:creator>
  <cp:keywords/>
  <dc:description/>
  <cp:lastModifiedBy>Schumaker, Jean</cp:lastModifiedBy>
  <cp:revision>25</cp:revision>
  <cp:lastPrinted>2021-03-25T19:42:00Z</cp:lastPrinted>
  <dcterms:created xsi:type="dcterms:W3CDTF">2021-03-28T22:04:00Z</dcterms:created>
  <dcterms:modified xsi:type="dcterms:W3CDTF">2021-03-30T22:16:00Z</dcterms:modified>
</cp:coreProperties>
</file>