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772B6" w14:textId="7C1C8CE9" w:rsidR="00BF474D" w:rsidRPr="00D73B5E" w:rsidRDefault="008F732A" w:rsidP="00BF474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Strategic Instruction </w:t>
      </w:r>
      <w:proofErr w:type="spellStart"/>
      <w:r>
        <w:rPr>
          <w:b/>
          <w:sz w:val="28"/>
          <w:szCs w:val="28"/>
        </w:rPr>
        <w:t>Model</w:t>
      </w:r>
      <w:r w:rsidRPr="008F732A">
        <w:rPr>
          <w:b/>
          <w:sz w:val="28"/>
          <w:szCs w:val="28"/>
          <w:vertAlign w:val="superscript"/>
        </w:rPr>
        <w:t>TM</w:t>
      </w:r>
      <w:proofErr w:type="spellEnd"/>
      <w:r>
        <w:rPr>
          <w:b/>
          <w:sz w:val="28"/>
          <w:szCs w:val="28"/>
        </w:rPr>
        <w:t xml:space="preserve"> (SIM)</w:t>
      </w:r>
    </w:p>
    <w:p w14:paraId="0060C1CF" w14:textId="42550FA3" w:rsidR="004C27AC" w:rsidRDefault="000155C9" w:rsidP="00853B48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Professional Learning Communities</w:t>
      </w:r>
      <w:r w:rsidR="008F7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&amp;</w:t>
      </w:r>
      <w:r w:rsidR="008F732A">
        <w:rPr>
          <w:b/>
          <w:sz w:val="28"/>
          <w:szCs w:val="28"/>
        </w:rPr>
        <w:t xml:space="preserve"> Content Enhancement Routines</w:t>
      </w:r>
      <w:r w:rsidR="005839AF">
        <w:rPr>
          <w:b/>
          <w:sz w:val="28"/>
          <w:szCs w:val="28"/>
        </w:rPr>
        <w:t xml:space="preserve"> (CERs)</w:t>
      </w:r>
    </w:p>
    <w:p w14:paraId="5445C119" w14:textId="77777777" w:rsidR="00853B48" w:rsidRPr="00853B48" w:rsidRDefault="00853B48" w:rsidP="00853B48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1AF7D4C7" w14:textId="77777777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In One Sentence:</w:t>
      </w:r>
    </w:p>
    <w:p w14:paraId="26DB4A47" w14:textId="4B157E55" w:rsidR="002437BE" w:rsidRPr="00C97CF2" w:rsidRDefault="00EF5117" w:rsidP="00454010">
      <w:pPr>
        <w:pStyle w:val="ListParagraph"/>
        <w:numPr>
          <w:ilvl w:val="0"/>
          <w:numId w:val="22"/>
        </w:numPr>
        <w:spacing w:after="0"/>
        <w:ind w:left="720"/>
        <w:rPr>
          <w:b/>
          <w:color w:val="0070C0"/>
          <w:sz w:val="16"/>
          <w:szCs w:val="16"/>
        </w:rPr>
      </w:pPr>
      <w:r>
        <w:t>Professional Learning Communities (PLCs) are r</w:t>
      </w:r>
      <w:r w:rsidR="005E4139">
        <w:t>egularly scheduled,</w:t>
      </w:r>
      <w:r w:rsidR="006B5FDB">
        <w:t xml:space="preserve"> on-going</w:t>
      </w:r>
      <w:r>
        <w:t xml:space="preserve"> </w:t>
      </w:r>
      <w:r w:rsidR="00C3007B">
        <w:t>dialogue</w:t>
      </w:r>
      <w:r w:rsidR="000155C9">
        <w:t xml:space="preserve"> </w:t>
      </w:r>
      <w:r>
        <w:t>among</w:t>
      </w:r>
      <w:r w:rsidR="000155C9">
        <w:t xml:space="preserve"> </w:t>
      </w:r>
      <w:r w:rsidR="006B5FDB">
        <w:t xml:space="preserve">educators who teach </w:t>
      </w:r>
      <w:r>
        <w:t>similar</w:t>
      </w:r>
      <w:r w:rsidR="006B5FDB">
        <w:t xml:space="preserve"> content</w:t>
      </w:r>
      <w:r w:rsidR="000155C9">
        <w:t xml:space="preserve"> </w:t>
      </w:r>
      <w:r>
        <w:t>where they</w:t>
      </w:r>
      <w:r w:rsidR="00426E34">
        <w:t xml:space="preserve"> collectively analyze student achievement to</w:t>
      </w:r>
      <w:r w:rsidR="000155C9">
        <w:t xml:space="preserve"> plan for student instruction and intervention</w:t>
      </w:r>
      <w:r w:rsidR="00426E34">
        <w:t>.</w:t>
      </w:r>
    </w:p>
    <w:p w14:paraId="0F11931F" w14:textId="77777777" w:rsidR="00426E34" w:rsidRPr="00426E34" w:rsidRDefault="00426E34" w:rsidP="00426E34">
      <w:pPr>
        <w:spacing w:after="0"/>
        <w:rPr>
          <w:b/>
          <w:color w:val="0070C0"/>
          <w:sz w:val="16"/>
          <w:szCs w:val="16"/>
        </w:rPr>
      </w:pPr>
    </w:p>
    <w:p w14:paraId="5E4B7F22" w14:textId="5738F4EB" w:rsidR="190726EA" w:rsidRDefault="190726EA" w:rsidP="00853B48">
      <w:pPr>
        <w:spacing w:after="0"/>
        <w:rPr>
          <w:rFonts w:ascii="Calibri" w:eastAsia="Calibri" w:hAnsi="Calibri" w:cs="Calibri"/>
          <w:color w:val="0070C0"/>
          <w:sz w:val="24"/>
          <w:szCs w:val="24"/>
        </w:rPr>
      </w:pPr>
      <w:r w:rsidRPr="190726EA">
        <w:rPr>
          <w:rFonts w:ascii="Calibri" w:eastAsia="Calibri" w:hAnsi="Calibri" w:cs="Calibri"/>
          <w:b/>
          <w:bCs/>
          <w:color w:val="0070C0"/>
          <w:sz w:val="24"/>
          <w:szCs w:val="24"/>
        </w:rPr>
        <w:t>Support or Evidence for the Practice:</w:t>
      </w:r>
    </w:p>
    <w:p w14:paraId="165DCCDD" w14:textId="0FEB7EB7" w:rsidR="006B5FDB" w:rsidRDefault="006B5FDB" w:rsidP="002437BE">
      <w:pPr>
        <w:pStyle w:val="ListParagraph"/>
        <w:numPr>
          <w:ilvl w:val="0"/>
          <w:numId w:val="6"/>
        </w:numPr>
        <w:spacing w:after="0"/>
      </w:pPr>
      <w:r>
        <w:t>Collective Teacher Efficacy, Effect size = 1.57</w:t>
      </w:r>
    </w:p>
    <w:p w14:paraId="5868FC35" w14:textId="67FC08DC" w:rsidR="006B5FDB" w:rsidRDefault="006B5FDB" w:rsidP="006B5FDB">
      <w:pPr>
        <w:pStyle w:val="ListParagraph"/>
        <w:numPr>
          <w:ilvl w:val="1"/>
          <w:numId w:val="6"/>
        </w:numPr>
        <w:spacing w:after="0"/>
      </w:pPr>
      <w:r>
        <w:t>Hattie (2018)</w:t>
      </w:r>
    </w:p>
    <w:p w14:paraId="4AECC453" w14:textId="0A7EB1F5" w:rsidR="005E4139" w:rsidRDefault="005E4139" w:rsidP="005E4139">
      <w:pPr>
        <w:pStyle w:val="ListParagraph"/>
        <w:numPr>
          <w:ilvl w:val="0"/>
          <w:numId w:val="6"/>
        </w:numPr>
        <w:spacing w:after="0"/>
        <w:ind w:left="720" w:hanging="360"/>
      </w:pPr>
      <w:r>
        <w:t>Professional Learning Communities at Work &amp; High Reliability Schools: Cultures of Continuous Learning</w:t>
      </w:r>
    </w:p>
    <w:p w14:paraId="6A6DFE58" w14:textId="7DB1AF91" w:rsidR="00F20C28" w:rsidRPr="00B84B0F" w:rsidRDefault="005E4139" w:rsidP="005E4139">
      <w:pPr>
        <w:pStyle w:val="ListParagraph"/>
        <w:numPr>
          <w:ilvl w:val="1"/>
          <w:numId w:val="6"/>
        </w:numPr>
        <w:spacing w:after="0"/>
      </w:pPr>
      <w:r>
        <w:t xml:space="preserve">Edited by Robert </w:t>
      </w:r>
      <w:proofErr w:type="spellStart"/>
      <w:r>
        <w:t>Eaker</w:t>
      </w:r>
      <w:proofErr w:type="spellEnd"/>
      <w:r>
        <w:t>, Robert J. Marzano, February 2020</w:t>
      </w:r>
    </w:p>
    <w:p w14:paraId="4E4C04AF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5EAB2A8E" w14:textId="3516FF47" w:rsidR="00BF474D" w:rsidRPr="009F3F72" w:rsidRDefault="00BF474D" w:rsidP="002437BE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What’s the Point?</w:t>
      </w:r>
    </w:p>
    <w:p w14:paraId="08AE431B" w14:textId="77777777" w:rsidR="00D6505E" w:rsidRPr="00D6505E" w:rsidRDefault="005E4139" w:rsidP="00D6505E">
      <w:pPr>
        <w:pStyle w:val="ListParagraph"/>
        <w:numPr>
          <w:ilvl w:val="0"/>
          <w:numId w:val="13"/>
        </w:numPr>
        <w:spacing w:after="0"/>
        <w:rPr>
          <w:b/>
        </w:rPr>
      </w:pPr>
      <w:r>
        <w:t xml:space="preserve">PLCs increase collective teacher efficacy and student achievement </w:t>
      </w:r>
      <w:r w:rsidR="008F732A">
        <w:t>if</w:t>
      </w:r>
      <w:r w:rsidR="004E49F8">
        <w:t xml:space="preserve"> they</w:t>
      </w:r>
      <w:r w:rsidR="008F732A">
        <w:t>:</w:t>
      </w:r>
    </w:p>
    <w:p w14:paraId="15F1774B" w14:textId="77777777" w:rsidR="00D6505E" w:rsidRPr="00D6505E" w:rsidRDefault="00D6505E" w:rsidP="00D6505E">
      <w:pPr>
        <w:pStyle w:val="ListParagraph"/>
        <w:numPr>
          <w:ilvl w:val="1"/>
          <w:numId w:val="13"/>
        </w:numPr>
        <w:spacing w:after="0"/>
        <w:rPr>
          <w:b/>
        </w:rPr>
      </w:pPr>
      <w:r>
        <w:t>M</w:t>
      </w:r>
      <w:r w:rsidR="005E4139" w:rsidRPr="00D6505E">
        <w:rPr>
          <w:bCs/>
        </w:rPr>
        <w:t>eet regularly</w:t>
      </w:r>
    </w:p>
    <w:p w14:paraId="7E504D3C" w14:textId="77777777" w:rsidR="00D6505E" w:rsidRPr="00D6505E" w:rsidRDefault="005E4139" w:rsidP="00D6505E">
      <w:pPr>
        <w:pStyle w:val="ListParagraph"/>
        <w:numPr>
          <w:ilvl w:val="1"/>
          <w:numId w:val="13"/>
        </w:numPr>
        <w:spacing w:after="0"/>
        <w:rPr>
          <w:b/>
        </w:rPr>
      </w:pPr>
      <w:r w:rsidRPr="00D6505E">
        <w:rPr>
          <w:bCs/>
        </w:rPr>
        <w:t xml:space="preserve">Use existing data to identify common goals/targets for group </w:t>
      </w:r>
    </w:p>
    <w:p w14:paraId="0A420346" w14:textId="54C0AA40" w:rsidR="005E4139" w:rsidRPr="00D6505E" w:rsidRDefault="005E4139" w:rsidP="00D6505E">
      <w:pPr>
        <w:pStyle w:val="ListParagraph"/>
        <w:numPr>
          <w:ilvl w:val="1"/>
          <w:numId w:val="13"/>
        </w:numPr>
        <w:spacing w:after="0"/>
        <w:rPr>
          <w:b/>
        </w:rPr>
      </w:pPr>
      <w:r w:rsidRPr="00D6505E">
        <w:rPr>
          <w:bCs/>
        </w:rPr>
        <w:t>Continually ask themselves:</w:t>
      </w:r>
    </w:p>
    <w:p w14:paraId="15BADF75" w14:textId="524E3C22" w:rsidR="005E4139" w:rsidRPr="005E4139" w:rsidRDefault="005E4139" w:rsidP="00D6505E">
      <w:pPr>
        <w:pStyle w:val="ListParagraph"/>
        <w:numPr>
          <w:ilvl w:val="1"/>
          <w:numId w:val="21"/>
        </w:numPr>
        <w:spacing w:after="0"/>
        <w:rPr>
          <w:b/>
        </w:rPr>
      </w:pPr>
      <w:r>
        <w:rPr>
          <w:bCs/>
        </w:rPr>
        <w:t>What is it we expect students to learn?</w:t>
      </w:r>
    </w:p>
    <w:p w14:paraId="1E65CD54" w14:textId="020B388D" w:rsidR="005E4139" w:rsidRPr="005E4139" w:rsidRDefault="005E4139" w:rsidP="00D6505E">
      <w:pPr>
        <w:pStyle w:val="ListParagraph"/>
        <w:numPr>
          <w:ilvl w:val="1"/>
          <w:numId w:val="21"/>
        </w:numPr>
        <w:spacing w:after="0"/>
        <w:rPr>
          <w:b/>
        </w:rPr>
      </w:pPr>
      <w:r>
        <w:rPr>
          <w:bCs/>
        </w:rPr>
        <w:t>How will we know when they have learned it?</w:t>
      </w:r>
    </w:p>
    <w:p w14:paraId="03851BEB" w14:textId="719A93D0" w:rsidR="005E4139" w:rsidRPr="005E4139" w:rsidRDefault="005E4139" w:rsidP="00D6505E">
      <w:pPr>
        <w:pStyle w:val="ListParagraph"/>
        <w:numPr>
          <w:ilvl w:val="1"/>
          <w:numId w:val="21"/>
        </w:numPr>
        <w:spacing w:after="0"/>
        <w:rPr>
          <w:b/>
        </w:rPr>
      </w:pPr>
      <w:r>
        <w:rPr>
          <w:bCs/>
        </w:rPr>
        <w:t>How will we respond when they haven’t learned it?</w:t>
      </w:r>
    </w:p>
    <w:p w14:paraId="189772A3" w14:textId="30A89A97" w:rsidR="005E4139" w:rsidRPr="00C3007B" w:rsidRDefault="005E4139" w:rsidP="00D6505E">
      <w:pPr>
        <w:pStyle w:val="ListParagraph"/>
        <w:numPr>
          <w:ilvl w:val="1"/>
          <w:numId w:val="21"/>
        </w:numPr>
        <w:spacing w:after="0"/>
        <w:rPr>
          <w:b/>
        </w:rPr>
      </w:pPr>
      <w:r>
        <w:rPr>
          <w:bCs/>
        </w:rPr>
        <w:t>How will we respond when they already know it?</w:t>
      </w:r>
    </w:p>
    <w:p w14:paraId="4F3F6247" w14:textId="11B4269A" w:rsidR="00C3007B" w:rsidRPr="00C3007B" w:rsidRDefault="00C3007B" w:rsidP="00C3007B">
      <w:pPr>
        <w:pStyle w:val="ListParagraph"/>
        <w:numPr>
          <w:ilvl w:val="0"/>
          <w:numId w:val="14"/>
        </w:numPr>
        <w:spacing w:after="0"/>
        <w:ind w:left="720"/>
        <w:rPr>
          <w:b/>
        </w:rPr>
      </w:pPr>
      <w:r>
        <w:t xml:space="preserve">Drafting </w:t>
      </w:r>
      <w:r w:rsidR="004E49F8">
        <w:t xml:space="preserve">and using </w:t>
      </w:r>
      <w:r>
        <w:t xml:space="preserve">CERs can be </w:t>
      </w:r>
      <w:r w:rsidR="004E49F8">
        <w:t>challenging</w:t>
      </w:r>
      <w:r>
        <w:t xml:space="preserve">. </w:t>
      </w:r>
      <w:r w:rsidR="004E49F8">
        <w:t>Working</w:t>
      </w:r>
      <w:r>
        <w:t xml:space="preserve"> collaboratively, </w:t>
      </w:r>
      <w:r w:rsidR="004E49F8">
        <w:t>educators</w:t>
      </w:r>
      <w:r>
        <w:t xml:space="preserve"> create richer and clearer devices</w:t>
      </w:r>
      <w:r w:rsidR="00D6505E">
        <w:t>. They also</w:t>
      </w:r>
      <w:r>
        <w:t xml:space="preserve"> </w:t>
      </w:r>
      <w:r w:rsidR="00D6505E">
        <w:t>analyze</w:t>
      </w:r>
      <w:r>
        <w:t xml:space="preserve"> results of implementation</w:t>
      </w:r>
      <w:r w:rsidR="00D6505E">
        <w:t xml:space="preserve"> and use data to</w:t>
      </w:r>
      <w:r>
        <w:t xml:space="preserve"> improve the draft devices and their practice of cue-do-review.</w:t>
      </w:r>
    </w:p>
    <w:p w14:paraId="1A825453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251952E8" w14:textId="6833C881" w:rsidR="00BF474D" w:rsidRPr="009F3F72" w:rsidRDefault="009F3F72" w:rsidP="002437BE">
      <w:pPr>
        <w:spacing w:after="0"/>
        <w:rPr>
          <w:b/>
          <w:sz w:val="24"/>
        </w:rPr>
      </w:pPr>
      <w:r>
        <w:rPr>
          <w:b/>
          <w:color w:val="0070C0"/>
          <w:sz w:val="24"/>
        </w:rPr>
        <w:t>Who is Responsible for</w:t>
      </w:r>
      <w:r w:rsidR="00B034A6" w:rsidRPr="009F3F72">
        <w:rPr>
          <w:b/>
          <w:color w:val="0070C0"/>
          <w:sz w:val="24"/>
        </w:rPr>
        <w:t xml:space="preserve"> </w:t>
      </w:r>
      <w:r w:rsidR="005E4139">
        <w:rPr>
          <w:b/>
          <w:color w:val="0070C0"/>
          <w:sz w:val="24"/>
        </w:rPr>
        <w:t>Facilitating PLCs</w:t>
      </w:r>
      <w:r w:rsidR="00B034A6" w:rsidRPr="009F3F72">
        <w:rPr>
          <w:b/>
          <w:color w:val="0070C0"/>
          <w:sz w:val="24"/>
        </w:rPr>
        <w:t>?</w:t>
      </w:r>
    </w:p>
    <w:p w14:paraId="2F87B292" w14:textId="65FE5110" w:rsidR="00FF1329" w:rsidRDefault="009F3F72" w:rsidP="005D5A18">
      <w:pPr>
        <w:pStyle w:val="ListParagraph"/>
        <w:numPr>
          <w:ilvl w:val="0"/>
          <w:numId w:val="16"/>
        </w:numPr>
        <w:spacing w:after="0"/>
      </w:pPr>
      <w:r>
        <w:t>Primary</w:t>
      </w:r>
      <w:r w:rsidR="00481124">
        <w:t xml:space="preserve"> role</w:t>
      </w:r>
      <w:r w:rsidR="005E4139">
        <w:t>, initially</w:t>
      </w:r>
      <w:r w:rsidR="00481124">
        <w:t xml:space="preserve"> responsible</w:t>
      </w:r>
      <w:r>
        <w:t xml:space="preserve">: </w:t>
      </w:r>
      <w:r w:rsidR="008F732A">
        <w:t xml:space="preserve">SIM Capacity Coaches, SIM </w:t>
      </w:r>
      <w:proofErr w:type="spellStart"/>
      <w:r w:rsidR="008F732A">
        <w:t>PDers</w:t>
      </w:r>
      <w:proofErr w:type="spellEnd"/>
      <w:r w:rsidR="00AC51D6">
        <w:t>, SIM Coordinators</w:t>
      </w:r>
    </w:p>
    <w:p w14:paraId="0C6706DC" w14:textId="6ECE8600" w:rsidR="008F732A" w:rsidRPr="00FF1329" w:rsidRDefault="00AC51D6" w:rsidP="005D5A18">
      <w:pPr>
        <w:pStyle w:val="ListParagraph"/>
        <w:numPr>
          <w:ilvl w:val="0"/>
          <w:numId w:val="16"/>
        </w:numPr>
        <w:spacing w:after="0"/>
      </w:pPr>
      <w:r>
        <w:t>Maintained</w:t>
      </w:r>
      <w:r w:rsidR="00B034A6">
        <w:t xml:space="preserve"> by</w:t>
      </w:r>
      <w:r w:rsidR="009F3F72">
        <w:t>:</w:t>
      </w:r>
      <w:r w:rsidR="00B034A6">
        <w:t xml:space="preserve"> </w:t>
      </w:r>
      <w:r>
        <w:t>Instructional</w:t>
      </w:r>
      <w:r w:rsidR="00B034A6">
        <w:t xml:space="preserve"> Implementation Teams</w:t>
      </w:r>
      <w:r w:rsidR="008F732A">
        <w:t xml:space="preserve"> </w:t>
      </w:r>
    </w:p>
    <w:p w14:paraId="5E6B27B7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5917E956" w14:textId="576061F8" w:rsidR="00BF474D" w:rsidRPr="008F732A" w:rsidRDefault="00BF474D" w:rsidP="00B92E66">
      <w:pPr>
        <w:spacing w:after="0" w:line="240" w:lineRule="auto"/>
        <w:rPr>
          <w:b/>
          <w:color w:val="0070C0"/>
          <w:sz w:val="24"/>
        </w:rPr>
      </w:pPr>
      <w:r w:rsidRPr="008F732A">
        <w:rPr>
          <w:b/>
          <w:color w:val="0070C0"/>
          <w:sz w:val="24"/>
        </w:rPr>
        <w:t xml:space="preserve">How </w:t>
      </w:r>
      <w:r w:rsidR="00AC51D6">
        <w:rPr>
          <w:b/>
          <w:color w:val="0070C0"/>
          <w:sz w:val="24"/>
        </w:rPr>
        <w:t>are PLCs used by Capacity Coaches</w:t>
      </w:r>
      <w:r w:rsidRPr="008F732A">
        <w:rPr>
          <w:b/>
          <w:color w:val="0070C0"/>
          <w:sz w:val="24"/>
        </w:rPr>
        <w:t>?</w:t>
      </w:r>
    </w:p>
    <w:p w14:paraId="13174E42" w14:textId="6310D11F" w:rsidR="0076278D" w:rsidRDefault="0076278D" w:rsidP="005D5A18">
      <w:pPr>
        <w:pStyle w:val="ListParagraph"/>
        <w:numPr>
          <w:ilvl w:val="0"/>
          <w:numId w:val="17"/>
        </w:numPr>
        <w:spacing w:after="0"/>
      </w:pPr>
      <w:r>
        <w:t>T</w:t>
      </w:r>
      <w:r w:rsidR="005839AF">
        <w:t xml:space="preserve">o </w:t>
      </w:r>
      <w:r>
        <w:t xml:space="preserve">make progress towards effective implementation </w:t>
      </w:r>
    </w:p>
    <w:p w14:paraId="017FE0B5" w14:textId="77777777" w:rsidR="00481124" w:rsidRPr="002437BE" w:rsidRDefault="00481124" w:rsidP="002437BE">
      <w:pPr>
        <w:pStyle w:val="ListParagraph"/>
        <w:spacing w:after="0"/>
        <w:rPr>
          <w:sz w:val="16"/>
          <w:szCs w:val="16"/>
        </w:rPr>
      </w:pPr>
    </w:p>
    <w:p w14:paraId="4ED80E56" w14:textId="120DC142" w:rsidR="005D5A18" w:rsidRDefault="00BF474D" w:rsidP="005D5A18">
      <w:pPr>
        <w:spacing w:after="0"/>
        <w:rPr>
          <w:b/>
          <w:color w:val="0070C0"/>
          <w:sz w:val="24"/>
        </w:rPr>
      </w:pPr>
      <w:r w:rsidRPr="009F3F72">
        <w:rPr>
          <w:b/>
          <w:color w:val="0070C0"/>
          <w:sz w:val="24"/>
        </w:rPr>
        <w:t>H</w:t>
      </w:r>
      <w:r w:rsidR="00481124">
        <w:rPr>
          <w:b/>
          <w:color w:val="0070C0"/>
          <w:sz w:val="24"/>
        </w:rPr>
        <w:t xml:space="preserve">ow </w:t>
      </w:r>
      <w:r w:rsidR="00AC51D6">
        <w:rPr>
          <w:b/>
          <w:color w:val="0070C0"/>
          <w:sz w:val="24"/>
        </w:rPr>
        <w:t>are PLCs</w:t>
      </w:r>
      <w:r w:rsidR="00481124">
        <w:rPr>
          <w:b/>
          <w:color w:val="0070C0"/>
          <w:sz w:val="24"/>
        </w:rPr>
        <w:t xml:space="preserve"> </w:t>
      </w:r>
      <w:r w:rsidR="00AC51D6">
        <w:rPr>
          <w:b/>
          <w:color w:val="0070C0"/>
          <w:sz w:val="24"/>
        </w:rPr>
        <w:t>initiated</w:t>
      </w:r>
      <w:r w:rsidR="00481124">
        <w:rPr>
          <w:b/>
          <w:color w:val="0070C0"/>
          <w:sz w:val="24"/>
        </w:rPr>
        <w:t xml:space="preserve"> by Capacity Coaches</w:t>
      </w:r>
      <w:r w:rsidRPr="009F3F72">
        <w:rPr>
          <w:b/>
          <w:color w:val="0070C0"/>
          <w:sz w:val="24"/>
        </w:rPr>
        <w:t>?</w:t>
      </w:r>
    </w:p>
    <w:p w14:paraId="5C40B716" w14:textId="6BD2F917" w:rsidR="0076278D" w:rsidRDefault="0076278D" w:rsidP="00AC51D6">
      <w:pPr>
        <w:pStyle w:val="ListParagraph"/>
        <w:numPr>
          <w:ilvl w:val="0"/>
          <w:numId w:val="18"/>
        </w:numPr>
        <w:spacing w:after="0"/>
      </w:pPr>
      <w:r>
        <w:t xml:space="preserve">works with </w:t>
      </w:r>
      <w:r w:rsidR="00AC51D6">
        <w:t>SIT to determine which IIT members are currently participating on PLCs</w:t>
      </w:r>
      <w:r w:rsidR="00B92E66">
        <w:t>,</w:t>
      </w:r>
      <w:r w:rsidR="00AC51D6">
        <w:t xml:space="preserve"> identify any gaps</w:t>
      </w:r>
      <w:r w:rsidR="00B92E66">
        <w:t>, and establish new PLCs as needed</w:t>
      </w:r>
    </w:p>
    <w:p w14:paraId="41858E57" w14:textId="17AAD1E8" w:rsidR="00AC51D6" w:rsidRDefault="00AC51D6" w:rsidP="00AC51D6">
      <w:pPr>
        <w:pStyle w:val="ListParagraph"/>
        <w:numPr>
          <w:ilvl w:val="0"/>
          <w:numId w:val="18"/>
        </w:numPr>
        <w:spacing w:after="0"/>
      </w:pPr>
      <w:r>
        <w:t>meets with existing PLCs to support incorporat</w:t>
      </w:r>
      <w:r w:rsidR="009203EF">
        <w:t xml:space="preserve">ing </w:t>
      </w:r>
      <w:r w:rsidR="00B92E66">
        <w:t>CER</w:t>
      </w:r>
      <w:r w:rsidR="009203EF">
        <w:t xml:space="preserve"> study into current structure</w:t>
      </w:r>
      <w:r>
        <w:t xml:space="preserve"> </w:t>
      </w:r>
    </w:p>
    <w:p w14:paraId="2A6EA6D8" w14:textId="77777777" w:rsidR="002437BE" w:rsidRPr="002437BE" w:rsidRDefault="002437BE" w:rsidP="002437BE">
      <w:pPr>
        <w:spacing w:after="0"/>
        <w:rPr>
          <w:b/>
          <w:color w:val="0070C0"/>
          <w:sz w:val="16"/>
          <w:szCs w:val="16"/>
        </w:rPr>
      </w:pPr>
    </w:p>
    <w:p w14:paraId="2AE8ED41" w14:textId="77777777" w:rsidR="00E61574" w:rsidRDefault="00481124" w:rsidP="00E61574">
      <w:pPr>
        <w:spacing w:after="0"/>
        <w:rPr>
          <w:b/>
          <w:color w:val="0070C0"/>
          <w:sz w:val="24"/>
        </w:rPr>
      </w:pPr>
      <w:r>
        <w:rPr>
          <w:b/>
          <w:color w:val="0070C0"/>
          <w:sz w:val="24"/>
        </w:rPr>
        <w:t>Additional Resourc</w:t>
      </w:r>
      <w:r w:rsidR="00E61574">
        <w:rPr>
          <w:b/>
          <w:color w:val="0070C0"/>
          <w:sz w:val="24"/>
        </w:rPr>
        <w:t>es</w:t>
      </w:r>
    </w:p>
    <w:p w14:paraId="5425C562" w14:textId="51836F92" w:rsidR="00B92E66" w:rsidRDefault="005839AF" w:rsidP="00C3007B">
      <w:pPr>
        <w:pStyle w:val="ListParagraph"/>
        <w:numPr>
          <w:ilvl w:val="0"/>
          <w:numId w:val="8"/>
        </w:numPr>
        <w:spacing w:after="0"/>
      </w:pPr>
      <w:r>
        <w:t xml:space="preserve">CER </w:t>
      </w:r>
      <w:r w:rsidR="001F0ADB">
        <w:t>Quick Reference Guide</w:t>
      </w:r>
      <w:r w:rsidR="00151F62">
        <w:t xml:space="preserve"> (see Deep Knowledge of Initiative, SIM Resources)</w:t>
      </w:r>
    </w:p>
    <w:p w14:paraId="0E8859C7" w14:textId="5D19901A" w:rsidR="007E7E9F" w:rsidRDefault="007E7E9F" w:rsidP="00C3007B">
      <w:pPr>
        <w:pStyle w:val="ListParagraph"/>
        <w:numPr>
          <w:ilvl w:val="0"/>
          <w:numId w:val="8"/>
        </w:numPr>
        <w:spacing w:after="0"/>
      </w:pPr>
      <w:r>
        <w:t xml:space="preserve">CER </w:t>
      </w:r>
      <w:proofErr w:type="spellStart"/>
      <w:r>
        <w:t>LiveBinders</w:t>
      </w:r>
      <w:proofErr w:type="spellEnd"/>
    </w:p>
    <w:p w14:paraId="47036C18" w14:textId="7ADAA3B8" w:rsidR="00AC51D6" w:rsidRDefault="00B92E66" w:rsidP="00C3007B">
      <w:pPr>
        <w:pStyle w:val="ListParagraph"/>
        <w:numPr>
          <w:ilvl w:val="0"/>
          <w:numId w:val="8"/>
        </w:numPr>
        <w:spacing w:after="0"/>
      </w:pPr>
      <w:r>
        <w:t>T</w:t>
      </w:r>
      <w:r w:rsidR="00853B48">
        <w:t xml:space="preserve">he Win! section within each </w:t>
      </w:r>
      <w:r w:rsidR="00C3007B">
        <w:t>CER Guidebook</w:t>
      </w:r>
    </w:p>
    <w:p w14:paraId="09A7AD70" w14:textId="55E9CD16" w:rsidR="00605DFB" w:rsidRDefault="00B92E66" w:rsidP="00B92E66">
      <w:pPr>
        <w:pStyle w:val="ListParagraph"/>
        <w:numPr>
          <w:ilvl w:val="0"/>
          <w:numId w:val="8"/>
        </w:numPr>
        <w:spacing w:after="0"/>
      </w:pPr>
      <w:r>
        <w:t>The Cue-Do-Review Checklist</w:t>
      </w:r>
      <w:r w:rsidR="00605DFB">
        <w:t xml:space="preserve"> (see Deep Knowledge of Initiative, SIM Resources)</w:t>
      </w:r>
      <w:r w:rsidR="004E49F8">
        <w:t xml:space="preserve"> </w:t>
      </w:r>
    </w:p>
    <w:p w14:paraId="58B20001" w14:textId="59AAD484" w:rsidR="00B92E66" w:rsidRPr="00C3007B" w:rsidRDefault="004E49F8" w:rsidP="00B92E66">
      <w:pPr>
        <w:pStyle w:val="ListParagraph"/>
        <w:numPr>
          <w:ilvl w:val="0"/>
          <w:numId w:val="8"/>
        </w:numPr>
        <w:spacing w:after="0"/>
      </w:pPr>
      <w:r>
        <w:t>Device Checklists</w:t>
      </w:r>
    </w:p>
    <w:p w14:paraId="52976E38" w14:textId="68781F44" w:rsidR="00BF474D" w:rsidRPr="00481124" w:rsidRDefault="00BF474D" w:rsidP="00B034A6">
      <w:pPr>
        <w:jc w:val="center"/>
        <w:rPr>
          <w:b/>
          <w:sz w:val="24"/>
        </w:rPr>
      </w:pPr>
      <w:r w:rsidRPr="00481124">
        <w:rPr>
          <w:b/>
          <w:sz w:val="24"/>
        </w:rPr>
        <w:lastRenderedPageBreak/>
        <w:t xml:space="preserve">Checklist: Effective </w:t>
      </w:r>
      <w:r w:rsidR="00FF598C">
        <w:rPr>
          <w:b/>
          <w:color w:val="0070C0"/>
          <w:sz w:val="24"/>
        </w:rPr>
        <w:t xml:space="preserve">PLCs for </w:t>
      </w:r>
      <w:r w:rsidR="00984A69">
        <w:rPr>
          <w:b/>
          <w:color w:val="0070C0"/>
          <w:sz w:val="24"/>
        </w:rPr>
        <w:t>Instructional Implementation Teams (</w:t>
      </w:r>
      <w:r w:rsidR="00FF598C">
        <w:rPr>
          <w:b/>
          <w:color w:val="0070C0"/>
          <w:sz w:val="24"/>
        </w:rPr>
        <w:t>IITs</w:t>
      </w:r>
      <w:r w:rsidR="00984A69">
        <w:rPr>
          <w:b/>
          <w:color w:val="0070C0"/>
          <w:sz w:val="24"/>
        </w:rPr>
        <w:t>)</w:t>
      </w:r>
      <w:r w:rsidR="00FF598C">
        <w:rPr>
          <w:b/>
          <w:color w:val="0070C0"/>
          <w:sz w:val="24"/>
        </w:rPr>
        <w:t xml:space="preserve"> using CERs</w:t>
      </w:r>
    </w:p>
    <w:p w14:paraId="166C2A5F" w14:textId="77777777" w:rsidR="00BF474D" w:rsidRDefault="009F3F72" w:rsidP="009F3F72">
      <w:pPr>
        <w:ind w:left="4320"/>
        <w:jc w:val="center"/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 wp14:anchorId="7A354410" wp14:editId="6881039C">
            <wp:extent cx="382261" cy="307975"/>
            <wp:effectExtent l="0" t="0" r="0" b="0"/>
            <wp:docPr id="1" name="Picture 1" descr="Image result for check mar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eck mark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95" cy="33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8275"/>
        <w:gridCol w:w="1260"/>
      </w:tblGrid>
      <w:tr w:rsidR="00B034A6" w14:paraId="18BB9CBC" w14:textId="77777777" w:rsidTr="005622F7">
        <w:trPr>
          <w:trHeight w:val="377"/>
        </w:trPr>
        <w:tc>
          <w:tcPr>
            <w:tcW w:w="8275" w:type="dxa"/>
            <w:vAlign w:val="center"/>
          </w:tcPr>
          <w:p w14:paraId="3F59091A" w14:textId="4D2466B8" w:rsidR="00B034A6" w:rsidRPr="00796267" w:rsidRDefault="00145289" w:rsidP="00796267">
            <w:pPr>
              <w:rPr>
                <w:b/>
                <w:bCs/>
              </w:rPr>
            </w:pPr>
            <w:r w:rsidRPr="00796267">
              <w:rPr>
                <w:b/>
                <w:bCs/>
              </w:rPr>
              <w:t xml:space="preserve">In partnership </w:t>
            </w:r>
            <w:r w:rsidR="00802E1E" w:rsidRPr="00796267">
              <w:rPr>
                <w:b/>
                <w:bCs/>
              </w:rPr>
              <w:t xml:space="preserve">with </w:t>
            </w:r>
            <w:r w:rsidR="001F0ADB">
              <w:rPr>
                <w:b/>
                <w:bCs/>
              </w:rPr>
              <w:t>the team</w:t>
            </w:r>
            <w:r w:rsidR="00796267" w:rsidRPr="00796267">
              <w:rPr>
                <w:b/>
                <w:bCs/>
              </w:rPr>
              <w:t xml:space="preserve">: </w:t>
            </w:r>
          </w:p>
        </w:tc>
        <w:tc>
          <w:tcPr>
            <w:tcW w:w="1260" w:type="dxa"/>
          </w:tcPr>
          <w:p w14:paraId="55BEEDF4" w14:textId="77777777" w:rsidR="00B034A6" w:rsidRDefault="00B034A6" w:rsidP="00BF474D"/>
        </w:tc>
      </w:tr>
      <w:tr w:rsidR="00984A69" w14:paraId="031C2ABB" w14:textId="77777777" w:rsidTr="004E49F8">
        <w:trPr>
          <w:trHeight w:val="503"/>
        </w:trPr>
        <w:tc>
          <w:tcPr>
            <w:tcW w:w="8275" w:type="dxa"/>
            <w:vAlign w:val="center"/>
          </w:tcPr>
          <w:p w14:paraId="2990036F" w14:textId="0309A139" w:rsidR="00984A69" w:rsidRDefault="00984A69" w:rsidP="00BF474D">
            <w:r>
              <w:t>Establish a common purpose</w:t>
            </w:r>
          </w:p>
        </w:tc>
        <w:tc>
          <w:tcPr>
            <w:tcW w:w="1260" w:type="dxa"/>
          </w:tcPr>
          <w:p w14:paraId="14E07CB0" w14:textId="77777777" w:rsidR="00984A69" w:rsidRDefault="00984A69" w:rsidP="00BF474D"/>
        </w:tc>
      </w:tr>
      <w:tr w:rsidR="00FF598C" w14:paraId="67C2C50D" w14:textId="77777777" w:rsidTr="005622F7">
        <w:trPr>
          <w:trHeight w:val="980"/>
        </w:trPr>
        <w:tc>
          <w:tcPr>
            <w:tcW w:w="8275" w:type="dxa"/>
            <w:vAlign w:val="center"/>
          </w:tcPr>
          <w:p w14:paraId="05A91718" w14:textId="5451D377" w:rsidR="00FF598C" w:rsidRDefault="00FF598C" w:rsidP="00BF474D">
            <w:r>
              <w:t xml:space="preserve">Establish a way of work </w:t>
            </w:r>
            <w:r w:rsidR="00984A69">
              <w:t>to include:</w:t>
            </w:r>
          </w:p>
          <w:p w14:paraId="479D5FF1" w14:textId="1D7D4365" w:rsidR="00FF598C" w:rsidRPr="00FF598C" w:rsidRDefault="00FF598C" w:rsidP="00C54113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>team norms</w:t>
            </w:r>
          </w:p>
          <w:p w14:paraId="698F4691" w14:textId="301F3A0C" w:rsidR="00FF598C" w:rsidRPr="00FF598C" w:rsidRDefault="00FF598C" w:rsidP="00C54113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>roles (rotating facilitator, notetaker, timekeeper, etc.)</w:t>
            </w:r>
          </w:p>
          <w:p w14:paraId="66CEC054" w14:textId="2E11F579" w:rsidR="00FF598C" w:rsidRPr="00FF598C" w:rsidRDefault="00FF598C" w:rsidP="00C54113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 xml:space="preserve">process to reflect on and evaluate </w:t>
            </w:r>
            <w:r w:rsidR="00C54113">
              <w:rPr>
                <w:bCs/>
              </w:rPr>
              <w:t>team functioning</w:t>
            </w:r>
          </w:p>
          <w:p w14:paraId="4FD5CC3B" w14:textId="16835CD9" w:rsidR="00C54113" w:rsidRPr="00DA4329" w:rsidRDefault="00C54113" w:rsidP="00C54113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 xml:space="preserve">schedule </w:t>
            </w:r>
            <w:r w:rsidR="00B92E66">
              <w:rPr>
                <w:bCs/>
              </w:rPr>
              <w:t>sessions</w:t>
            </w:r>
            <w:r>
              <w:rPr>
                <w:bCs/>
              </w:rPr>
              <w:t xml:space="preserve"> (minimally every other week)</w:t>
            </w:r>
          </w:p>
        </w:tc>
        <w:tc>
          <w:tcPr>
            <w:tcW w:w="1260" w:type="dxa"/>
          </w:tcPr>
          <w:p w14:paraId="5808E194" w14:textId="77777777" w:rsidR="00FF598C" w:rsidRDefault="00FF598C" w:rsidP="00BF474D"/>
        </w:tc>
      </w:tr>
      <w:tr w:rsidR="001F0ADB" w14:paraId="3F68B1BE" w14:textId="77777777" w:rsidTr="005622F7">
        <w:trPr>
          <w:trHeight w:val="890"/>
        </w:trPr>
        <w:tc>
          <w:tcPr>
            <w:tcW w:w="8275" w:type="dxa"/>
            <w:vAlign w:val="center"/>
          </w:tcPr>
          <w:p w14:paraId="67A31DA7" w14:textId="6A751473" w:rsidR="001F0ADB" w:rsidRDefault="00FF598C" w:rsidP="00BF474D">
            <w:r>
              <w:t>Explore</w:t>
            </w:r>
            <w:r w:rsidR="00EF7940">
              <w:t xml:space="preserve"> the answers to the following questions</w:t>
            </w:r>
            <w:r w:rsidR="001F0ADB">
              <w:t>:</w:t>
            </w:r>
          </w:p>
          <w:p w14:paraId="4DE2F461" w14:textId="58B87828" w:rsidR="001F0ADB" w:rsidRPr="001F0ADB" w:rsidRDefault="001F0ADB" w:rsidP="001F0ADB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>What is it we expect students to learn?</w:t>
            </w:r>
          </w:p>
          <w:p w14:paraId="37E67025" w14:textId="3902B9D9" w:rsidR="001F0ADB" w:rsidRPr="00B92E66" w:rsidRDefault="001F0ADB" w:rsidP="001F0ADB">
            <w:pPr>
              <w:pStyle w:val="ListParagraph"/>
              <w:numPr>
                <w:ilvl w:val="2"/>
                <w:numId w:val="14"/>
              </w:numPr>
              <w:ind w:left="883" w:hanging="270"/>
              <w:rPr>
                <w:b/>
              </w:rPr>
            </w:pPr>
            <w:r>
              <w:rPr>
                <w:bCs/>
              </w:rPr>
              <w:t xml:space="preserve">Are the </w:t>
            </w:r>
            <w:r w:rsidR="00EF7940">
              <w:rPr>
                <w:bCs/>
              </w:rPr>
              <w:t>cognitive demands</w:t>
            </w:r>
            <w:r w:rsidR="00E17A79">
              <w:rPr>
                <w:bCs/>
              </w:rPr>
              <w:t xml:space="preserve"> and required skills</w:t>
            </w:r>
            <w:r w:rsidR="00EF7940">
              <w:rPr>
                <w:bCs/>
              </w:rPr>
              <w:t xml:space="preserve"> of the standard(s) reflected </w:t>
            </w:r>
            <w:r>
              <w:rPr>
                <w:bCs/>
              </w:rPr>
              <w:t>in the Course Questions on the Course Organizer Routine and/or Unit Self-Test Questions</w:t>
            </w:r>
            <w:r w:rsidR="00EF7940">
              <w:rPr>
                <w:bCs/>
              </w:rPr>
              <w:t xml:space="preserve"> on the Unit Organizer Routine</w:t>
            </w:r>
            <w:r>
              <w:rPr>
                <w:bCs/>
              </w:rPr>
              <w:t>?</w:t>
            </w:r>
          </w:p>
          <w:p w14:paraId="15481BB4" w14:textId="61C9A0DC" w:rsidR="00DA4329" w:rsidRPr="00DA4329" w:rsidRDefault="00B92E66" w:rsidP="00DA4329">
            <w:pPr>
              <w:pStyle w:val="ListParagraph"/>
              <w:numPr>
                <w:ilvl w:val="2"/>
                <w:numId w:val="14"/>
              </w:numPr>
              <w:ind w:left="883" w:hanging="270"/>
              <w:rPr>
                <w:b/>
              </w:rPr>
            </w:pPr>
            <w:r>
              <w:rPr>
                <w:bCs/>
              </w:rPr>
              <w:t>Are there concepts or skills that</w:t>
            </w:r>
            <w:r w:rsidR="00DA4329">
              <w:rPr>
                <w:bCs/>
              </w:rPr>
              <w:t xml:space="preserve"> are abstract, difficult to understand because of the complexity,</w:t>
            </w:r>
            <w:r>
              <w:rPr>
                <w:bCs/>
              </w:rPr>
              <w:t xml:space="preserve"> require background knowledge</w:t>
            </w:r>
            <w:r w:rsidR="00DA4329">
              <w:rPr>
                <w:bCs/>
              </w:rPr>
              <w:t xml:space="preserve"> where there may be gaps, or generate misconceptions? Which CER(s) would address these issues? </w:t>
            </w:r>
          </w:p>
          <w:p w14:paraId="16C60535" w14:textId="73E391BC" w:rsidR="001F0ADB" w:rsidRPr="00EF7940" w:rsidRDefault="001F0ADB" w:rsidP="001F0ADB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>How will we know when they have learned it?</w:t>
            </w:r>
          </w:p>
          <w:p w14:paraId="7C5ADE71" w14:textId="3061C797" w:rsidR="00EF7940" w:rsidRPr="00EF7940" w:rsidRDefault="00EF7940" w:rsidP="00EF7940">
            <w:pPr>
              <w:pStyle w:val="ListParagraph"/>
              <w:numPr>
                <w:ilvl w:val="2"/>
                <w:numId w:val="14"/>
              </w:numPr>
              <w:ind w:left="883" w:hanging="270"/>
              <w:rPr>
                <w:b/>
              </w:rPr>
            </w:pPr>
            <w:r>
              <w:rPr>
                <w:bCs/>
              </w:rPr>
              <w:t>How can we use the Content Enhancement Devices as formative assessments?</w:t>
            </w:r>
          </w:p>
          <w:p w14:paraId="45C27F2C" w14:textId="3232ACF8" w:rsidR="001F0ADB" w:rsidRPr="00EF7940" w:rsidRDefault="001F0ADB" w:rsidP="001F0ADB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>How will we respond when they haven’t learned it?</w:t>
            </w:r>
          </w:p>
          <w:p w14:paraId="5D227A03" w14:textId="0C18678F" w:rsidR="00EF7940" w:rsidRPr="00EF7940" w:rsidRDefault="00EF7940" w:rsidP="00EF7940">
            <w:pPr>
              <w:pStyle w:val="ListParagraph"/>
              <w:numPr>
                <w:ilvl w:val="2"/>
                <w:numId w:val="14"/>
              </w:numPr>
              <w:ind w:left="883" w:hanging="270"/>
              <w:rPr>
                <w:b/>
              </w:rPr>
            </w:pPr>
            <w:r>
              <w:rPr>
                <w:bCs/>
              </w:rPr>
              <w:t>Would another CER offer the needed support/scaffolding or provide a means to fill in gaps in background knowledge for the student(s)</w:t>
            </w:r>
            <w:r w:rsidR="00E17A79">
              <w:rPr>
                <w:bCs/>
              </w:rPr>
              <w:t>?</w:t>
            </w:r>
          </w:p>
          <w:p w14:paraId="10669EBB" w14:textId="77777777" w:rsidR="001F0ADB" w:rsidRPr="00EF7940" w:rsidRDefault="001F0ADB" w:rsidP="00BF474D">
            <w:pPr>
              <w:pStyle w:val="ListParagraph"/>
              <w:numPr>
                <w:ilvl w:val="1"/>
                <w:numId w:val="14"/>
              </w:numPr>
              <w:ind w:left="523" w:hanging="270"/>
              <w:rPr>
                <w:b/>
              </w:rPr>
            </w:pPr>
            <w:r>
              <w:rPr>
                <w:bCs/>
              </w:rPr>
              <w:t>How will we respond when they already know it?</w:t>
            </w:r>
          </w:p>
          <w:p w14:paraId="710E3CAC" w14:textId="5C9D1ACF" w:rsidR="00EF7940" w:rsidRPr="00EF7940" w:rsidRDefault="00EF7940" w:rsidP="00EF7940">
            <w:pPr>
              <w:pStyle w:val="ListParagraph"/>
              <w:numPr>
                <w:ilvl w:val="2"/>
                <w:numId w:val="14"/>
              </w:numPr>
              <w:ind w:left="883" w:hanging="270"/>
              <w:rPr>
                <w:b/>
              </w:rPr>
            </w:pPr>
            <w:r>
              <w:rPr>
                <w:bCs/>
              </w:rPr>
              <w:t>How can we build differentiated CER extensions to deepen content knowledge for students who have previously mastered the standards?</w:t>
            </w:r>
          </w:p>
        </w:tc>
        <w:tc>
          <w:tcPr>
            <w:tcW w:w="1260" w:type="dxa"/>
          </w:tcPr>
          <w:p w14:paraId="4A3A735E" w14:textId="77777777" w:rsidR="001F0ADB" w:rsidRDefault="001F0ADB" w:rsidP="00BF474D"/>
        </w:tc>
      </w:tr>
      <w:tr w:rsidR="00E17A79" w14:paraId="27B89624" w14:textId="77777777" w:rsidTr="004E49F8">
        <w:trPr>
          <w:trHeight w:val="638"/>
        </w:trPr>
        <w:tc>
          <w:tcPr>
            <w:tcW w:w="8275" w:type="dxa"/>
            <w:vAlign w:val="center"/>
          </w:tcPr>
          <w:p w14:paraId="7C83B7A7" w14:textId="28BD6BA2" w:rsidR="00E17A79" w:rsidRDefault="00E17A79" w:rsidP="00BF474D">
            <w:r>
              <w:t xml:space="preserve">Create </w:t>
            </w:r>
            <w:r w:rsidR="00FF598C">
              <w:t xml:space="preserve">a specific </w:t>
            </w:r>
            <w:r>
              <w:t xml:space="preserve">common goal, </w:t>
            </w:r>
            <w:r w:rsidR="00FF598C">
              <w:t xml:space="preserve">determine how success will be measured, </w:t>
            </w:r>
            <w:r w:rsidR="00DA4329">
              <w:t>identify</w:t>
            </w:r>
            <w:r w:rsidR="00FF598C">
              <w:t xml:space="preserve"> action steps</w:t>
            </w:r>
            <w:r w:rsidR="00C54113">
              <w:t>, set deadlines</w:t>
            </w:r>
            <w:r w:rsidR="00FF598C">
              <w:t xml:space="preserve"> and </w:t>
            </w:r>
            <w:r>
              <w:t xml:space="preserve">assign </w:t>
            </w:r>
            <w:r w:rsidR="00C54113">
              <w:t>individual and c</w:t>
            </w:r>
            <w:r w:rsidR="00DA4329">
              <w:t>ollective</w:t>
            </w:r>
            <w:r w:rsidR="00C54113">
              <w:t xml:space="preserve"> </w:t>
            </w:r>
            <w:r w:rsidR="00FF598C">
              <w:t>responsibilities</w:t>
            </w:r>
          </w:p>
        </w:tc>
        <w:tc>
          <w:tcPr>
            <w:tcW w:w="1260" w:type="dxa"/>
          </w:tcPr>
          <w:p w14:paraId="642983F7" w14:textId="77777777" w:rsidR="00E17A79" w:rsidRDefault="00E17A79" w:rsidP="00BF474D"/>
        </w:tc>
      </w:tr>
      <w:tr w:rsidR="00C54113" w14:paraId="3AE31EAE" w14:textId="77777777" w:rsidTr="00E17A79">
        <w:trPr>
          <w:trHeight w:val="350"/>
        </w:trPr>
        <w:tc>
          <w:tcPr>
            <w:tcW w:w="8275" w:type="dxa"/>
            <w:shd w:val="clear" w:color="auto" w:fill="auto"/>
            <w:vAlign w:val="center"/>
          </w:tcPr>
          <w:p w14:paraId="4763A3D0" w14:textId="228003C1" w:rsidR="00C54113" w:rsidRDefault="00C54113" w:rsidP="007329AE">
            <w:r>
              <w:t>Implement plan</w:t>
            </w:r>
          </w:p>
        </w:tc>
        <w:tc>
          <w:tcPr>
            <w:tcW w:w="1260" w:type="dxa"/>
          </w:tcPr>
          <w:p w14:paraId="54903236" w14:textId="77777777" w:rsidR="00C54113" w:rsidRDefault="00C54113" w:rsidP="007329AE"/>
        </w:tc>
      </w:tr>
      <w:tr w:rsidR="00E17A79" w14:paraId="244C9D3C" w14:textId="77777777" w:rsidTr="00E17A79">
        <w:trPr>
          <w:trHeight w:val="350"/>
        </w:trPr>
        <w:tc>
          <w:tcPr>
            <w:tcW w:w="8275" w:type="dxa"/>
            <w:shd w:val="clear" w:color="auto" w:fill="auto"/>
            <w:vAlign w:val="center"/>
          </w:tcPr>
          <w:p w14:paraId="79BA9845" w14:textId="65788EE7" w:rsidR="00E17A79" w:rsidRDefault="00C54113" w:rsidP="007329AE">
            <w:r>
              <w:t>Evaluate progress toward specific common goal. Determine level of success.</w:t>
            </w:r>
          </w:p>
        </w:tc>
        <w:tc>
          <w:tcPr>
            <w:tcW w:w="1260" w:type="dxa"/>
          </w:tcPr>
          <w:p w14:paraId="06707BDE" w14:textId="77777777" w:rsidR="00E17A79" w:rsidRDefault="00E17A79" w:rsidP="007329AE"/>
        </w:tc>
      </w:tr>
      <w:tr w:rsidR="00E17A79" w14:paraId="7A442475" w14:textId="77777777" w:rsidTr="00E17A79">
        <w:trPr>
          <w:trHeight w:val="440"/>
        </w:trPr>
        <w:tc>
          <w:tcPr>
            <w:tcW w:w="8275" w:type="dxa"/>
            <w:shd w:val="clear" w:color="auto" w:fill="auto"/>
            <w:vAlign w:val="center"/>
          </w:tcPr>
          <w:p w14:paraId="1EA2D398" w14:textId="77777777" w:rsidR="00C23B5E" w:rsidRDefault="00C54113" w:rsidP="007329AE">
            <w:r>
              <w:t xml:space="preserve">Determine if acceptable level of </w:t>
            </w:r>
            <w:r w:rsidR="00C23B5E">
              <w:t xml:space="preserve">success has been </w:t>
            </w:r>
            <w:r>
              <w:t>me</w:t>
            </w:r>
            <w:r w:rsidR="00C23B5E">
              <w:t xml:space="preserve">t. </w:t>
            </w:r>
          </w:p>
          <w:p w14:paraId="7D4794A2" w14:textId="77777777" w:rsidR="00E17A79" w:rsidRDefault="00C23B5E" w:rsidP="00C23B5E">
            <w:pPr>
              <w:pStyle w:val="ListParagraph"/>
              <w:numPr>
                <w:ilvl w:val="0"/>
                <w:numId w:val="20"/>
              </w:numPr>
              <w:ind w:left="523" w:hanging="270"/>
            </w:pPr>
            <w:r>
              <w:t>If no</w:t>
            </w:r>
            <w:r w:rsidR="00C54113">
              <w:t>, m</w:t>
            </w:r>
            <w:r w:rsidR="00E17A79">
              <w:t>odify and repeat implementation until goal is reached</w:t>
            </w:r>
          </w:p>
          <w:p w14:paraId="2A38D95F" w14:textId="18A8E612" w:rsidR="00C23B5E" w:rsidRDefault="00C23B5E" w:rsidP="00C23B5E">
            <w:pPr>
              <w:pStyle w:val="ListParagraph"/>
              <w:numPr>
                <w:ilvl w:val="0"/>
                <w:numId w:val="20"/>
              </w:numPr>
              <w:ind w:left="523" w:hanging="270"/>
            </w:pPr>
            <w:r>
              <w:t>If yes, identify a new common goal</w:t>
            </w:r>
          </w:p>
        </w:tc>
        <w:tc>
          <w:tcPr>
            <w:tcW w:w="1260" w:type="dxa"/>
          </w:tcPr>
          <w:p w14:paraId="61F7CB6E" w14:textId="77777777" w:rsidR="00E17A79" w:rsidRDefault="00E17A79" w:rsidP="007329AE"/>
        </w:tc>
      </w:tr>
    </w:tbl>
    <w:p w14:paraId="51E38028" w14:textId="77777777" w:rsidR="002C18E9" w:rsidRPr="00BF474D" w:rsidRDefault="002C18E9" w:rsidP="00BF474D"/>
    <w:sectPr w:rsidR="002C18E9" w:rsidRPr="00BF474D" w:rsidSect="00605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4E78" w14:textId="77777777" w:rsidR="00F37FD4" w:rsidRDefault="00F37FD4" w:rsidP="009F3F72">
      <w:pPr>
        <w:spacing w:after="0" w:line="240" w:lineRule="auto"/>
      </w:pPr>
      <w:r>
        <w:separator/>
      </w:r>
    </w:p>
  </w:endnote>
  <w:endnote w:type="continuationSeparator" w:id="0">
    <w:p w14:paraId="726310ED" w14:textId="77777777" w:rsidR="00F37FD4" w:rsidRDefault="00F37FD4" w:rsidP="009F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3A771" w14:textId="77777777" w:rsidR="00D6505E" w:rsidRDefault="00D65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B280" w14:textId="77777777" w:rsidR="009F3F72" w:rsidRDefault="009F3F72" w:rsidP="009F3F72">
    <w:pPr>
      <w:pStyle w:val="Footer"/>
    </w:pPr>
    <w:r>
      <w:t xml:space="preserve">FL SPDG District Capacity Coach Playbook, June 2020                                                                         </w:t>
    </w:r>
    <w:r>
      <w:rPr>
        <w:noProof/>
      </w:rPr>
      <w:drawing>
        <wp:inline distT="0" distB="0" distL="0" distR="0" wp14:anchorId="18ACBA41" wp14:editId="357202DD">
          <wp:extent cx="615588" cy="400050"/>
          <wp:effectExtent l="0" t="0" r="0" b="0"/>
          <wp:docPr id="2" name="Picture 2" descr="C:\Users\elainemiller\AppData\Local\Microsoft\Windows\INetCache\Content.MSO\999F22E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miller\AppData\Local\Microsoft\Windows\INetCache\Content.MSO\999F22E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74" cy="43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DC824" w14:textId="77777777" w:rsidR="009F3F72" w:rsidRPr="009F3F72" w:rsidRDefault="009F3F72" w:rsidP="009F3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E17C6" w14:textId="77777777" w:rsidR="00D6505E" w:rsidRDefault="00D65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91715" w14:textId="77777777" w:rsidR="00F37FD4" w:rsidRDefault="00F37FD4" w:rsidP="009F3F72">
      <w:pPr>
        <w:spacing w:after="0" w:line="240" w:lineRule="auto"/>
      </w:pPr>
      <w:r>
        <w:separator/>
      </w:r>
    </w:p>
  </w:footnote>
  <w:footnote w:type="continuationSeparator" w:id="0">
    <w:p w14:paraId="47191ED2" w14:textId="77777777" w:rsidR="00F37FD4" w:rsidRDefault="00F37FD4" w:rsidP="009F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373A4" w14:textId="77777777" w:rsidR="00D6505E" w:rsidRDefault="00D65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B30C" w14:textId="77777777" w:rsidR="00D6505E" w:rsidRDefault="00D65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5DF1" w14:textId="77777777" w:rsidR="00D6505E" w:rsidRDefault="00D65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5EA9"/>
    <w:multiLevelType w:val="hybridMultilevel"/>
    <w:tmpl w:val="6F50E5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1A8B"/>
    <w:multiLevelType w:val="hybridMultilevel"/>
    <w:tmpl w:val="EDCC5E20"/>
    <w:lvl w:ilvl="0" w:tplc="7BAA92A2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B02021D"/>
    <w:multiLevelType w:val="hybridMultilevel"/>
    <w:tmpl w:val="6DCE1646"/>
    <w:lvl w:ilvl="0" w:tplc="040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5E60"/>
    <w:multiLevelType w:val="hybridMultilevel"/>
    <w:tmpl w:val="A7D2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B18"/>
    <w:multiLevelType w:val="hybridMultilevel"/>
    <w:tmpl w:val="BCD25840"/>
    <w:lvl w:ilvl="0" w:tplc="A99C4CB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51F58"/>
    <w:multiLevelType w:val="hybridMultilevel"/>
    <w:tmpl w:val="4C68C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096BD4"/>
    <w:multiLevelType w:val="hybridMultilevel"/>
    <w:tmpl w:val="06CC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75BC1"/>
    <w:multiLevelType w:val="hybridMultilevel"/>
    <w:tmpl w:val="8334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4408"/>
    <w:multiLevelType w:val="hybridMultilevel"/>
    <w:tmpl w:val="4AE2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0655"/>
    <w:multiLevelType w:val="hybridMultilevel"/>
    <w:tmpl w:val="866E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6A43"/>
    <w:multiLevelType w:val="hybridMultilevel"/>
    <w:tmpl w:val="A554FE36"/>
    <w:lvl w:ilvl="0" w:tplc="1B8E5A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45818"/>
    <w:multiLevelType w:val="hybridMultilevel"/>
    <w:tmpl w:val="CDDE3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13EC2"/>
    <w:multiLevelType w:val="hybridMultilevel"/>
    <w:tmpl w:val="29423D0E"/>
    <w:lvl w:ilvl="0" w:tplc="5778334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00592"/>
    <w:multiLevelType w:val="hybridMultilevel"/>
    <w:tmpl w:val="3D7C1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DD7BB2"/>
    <w:multiLevelType w:val="hybridMultilevel"/>
    <w:tmpl w:val="CF3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F7C80"/>
    <w:multiLevelType w:val="hybridMultilevel"/>
    <w:tmpl w:val="B86EF0B6"/>
    <w:lvl w:ilvl="0" w:tplc="D19CDAD4">
      <w:start w:val="1"/>
      <w:numFmt w:val="bullet"/>
      <w:lvlText w:val="o"/>
      <w:lvlJc w:val="left"/>
      <w:pPr>
        <w:tabs>
          <w:tab w:val="num" w:pos="1080"/>
        </w:tabs>
        <w:ind w:left="36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BF3C1E"/>
    <w:multiLevelType w:val="hybridMultilevel"/>
    <w:tmpl w:val="0486E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633A7A"/>
    <w:multiLevelType w:val="hybridMultilevel"/>
    <w:tmpl w:val="ADCE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45654"/>
    <w:multiLevelType w:val="hybridMultilevel"/>
    <w:tmpl w:val="525E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D1A4F"/>
    <w:multiLevelType w:val="hybridMultilevel"/>
    <w:tmpl w:val="953A5AAE"/>
    <w:lvl w:ilvl="0" w:tplc="3AAAF938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9666F"/>
    <w:multiLevelType w:val="hybridMultilevel"/>
    <w:tmpl w:val="FC18D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06B93"/>
    <w:multiLevelType w:val="hybridMultilevel"/>
    <w:tmpl w:val="89806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17"/>
  </w:num>
  <w:num w:numId="11">
    <w:abstractNumId w:val="12"/>
  </w:num>
  <w:num w:numId="12">
    <w:abstractNumId w:val="2"/>
  </w:num>
  <w:num w:numId="13">
    <w:abstractNumId w:val="19"/>
  </w:num>
  <w:num w:numId="14">
    <w:abstractNumId w:val="13"/>
  </w:num>
  <w:num w:numId="15">
    <w:abstractNumId w:val="10"/>
  </w:num>
  <w:num w:numId="16">
    <w:abstractNumId w:val="3"/>
  </w:num>
  <w:num w:numId="17">
    <w:abstractNumId w:val="18"/>
  </w:num>
  <w:num w:numId="18">
    <w:abstractNumId w:val="20"/>
  </w:num>
  <w:num w:numId="19">
    <w:abstractNumId w:val="8"/>
  </w:num>
  <w:num w:numId="20">
    <w:abstractNumId w:val="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4D"/>
    <w:rsid w:val="000155C9"/>
    <w:rsid w:val="000E1FC1"/>
    <w:rsid w:val="00100878"/>
    <w:rsid w:val="00124E8B"/>
    <w:rsid w:val="00143DFD"/>
    <w:rsid w:val="00145289"/>
    <w:rsid w:val="00151F62"/>
    <w:rsid w:val="001A4EAD"/>
    <w:rsid w:val="001F0ADB"/>
    <w:rsid w:val="00240FF9"/>
    <w:rsid w:val="002437BE"/>
    <w:rsid w:val="002B5C2E"/>
    <w:rsid w:val="002C18E9"/>
    <w:rsid w:val="002E669D"/>
    <w:rsid w:val="00322D18"/>
    <w:rsid w:val="003D4217"/>
    <w:rsid w:val="003E1AC1"/>
    <w:rsid w:val="00426E34"/>
    <w:rsid w:val="00454010"/>
    <w:rsid w:val="00481124"/>
    <w:rsid w:val="004C27AC"/>
    <w:rsid w:val="004C4526"/>
    <w:rsid w:val="004D2060"/>
    <w:rsid w:val="004E49F8"/>
    <w:rsid w:val="00536254"/>
    <w:rsid w:val="005622F7"/>
    <w:rsid w:val="005839AF"/>
    <w:rsid w:val="00584314"/>
    <w:rsid w:val="005D5A18"/>
    <w:rsid w:val="005E4139"/>
    <w:rsid w:val="005F5853"/>
    <w:rsid w:val="00605DFB"/>
    <w:rsid w:val="00693DB9"/>
    <w:rsid w:val="006B5FDB"/>
    <w:rsid w:val="006C561E"/>
    <w:rsid w:val="006E6600"/>
    <w:rsid w:val="0076278D"/>
    <w:rsid w:val="00796267"/>
    <w:rsid w:val="007C5067"/>
    <w:rsid w:val="007E4A4C"/>
    <w:rsid w:val="007E7E9F"/>
    <w:rsid w:val="00802E1E"/>
    <w:rsid w:val="00847C2B"/>
    <w:rsid w:val="00853B48"/>
    <w:rsid w:val="00862CD6"/>
    <w:rsid w:val="0088292B"/>
    <w:rsid w:val="008F732A"/>
    <w:rsid w:val="009203EF"/>
    <w:rsid w:val="00984A69"/>
    <w:rsid w:val="00990E86"/>
    <w:rsid w:val="009D150A"/>
    <w:rsid w:val="009F3F72"/>
    <w:rsid w:val="00A04CBE"/>
    <w:rsid w:val="00AC51D6"/>
    <w:rsid w:val="00B034A6"/>
    <w:rsid w:val="00B37CF9"/>
    <w:rsid w:val="00B84B0F"/>
    <w:rsid w:val="00B92E66"/>
    <w:rsid w:val="00BA6D9C"/>
    <w:rsid w:val="00BD75B6"/>
    <w:rsid w:val="00BF33AB"/>
    <w:rsid w:val="00BF474D"/>
    <w:rsid w:val="00C23B5E"/>
    <w:rsid w:val="00C3007B"/>
    <w:rsid w:val="00C54113"/>
    <w:rsid w:val="00C7650F"/>
    <w:rsid w:val="00C97CF2"/>
    <w:rsid w:val="00CE1EDC"/>
    <w:rsid w:val="00D6505E"/>
    <w:rsid w:val="00D73B5E"/>
    <w:rsid w:val="00DA4329"/>
    <w:rsid w:val="00DE13A4"/>
    <w:rsid w:val="00E17A79"/>
    <w:rsid w:val="00E61574"/>
    <w:rsid w:val="00E74E67"/>
    <w:rsid w:val="00EC2E0F"/>
    <w:rsid w:val="00EF5117"/>
    <w:rsid w:val="00EF7940"/>
    <w:rsid w:val="00F20C28"/>
    <w:rsid w:val="00F37FD4"/>
    <w:rsid w:val="00F55773"/>
    <w:rsid w:val="00FF1329"/>
    <w:rsid w:val="00FF598C"/>
    <w:rsid w:val="190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F2239"/>
  <w15:chartTrackingRefBased/>
  <w15:docId w15:val="{F4DF66FA-A23F-45D1-B8D8-84C7D40A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4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7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7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474D"/>
    <w:pPr>
      <w:ind w:left="720"/>
      <w:contextualSpacing/>
    </w:pPr>
  </w:style>
  <w:style w:type="table" w:styleId="TableGrid">
    <w:name w:val="Table Grid"/>
    <w:basedOn w:val="TableNormal"/>
    <w:uiPriority w:val="39"/>
    <w:rsid w:val="00B0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72"/>
  </w:style>
  <w:style w:type="paragraph" w:styleId="Footer">
    <w:name w:val="footer"/>
    <w:basedOn w:val="Normal"/>
    <w:link w:val="FooterChar"/>
    <w:uiPriority w:val="99"/>
    <w:unhideWhenUsed/>
    <w:rsid w:val="009F3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72"/>
  </w:style>
  <w:style w:type="character" w:styleId="Hyperlink">
    <w:name w:val="Hyperlink"/>
    <w:basedOn w:val="DefaultParagraphFont"/>
    <w:uiPriority w:val="99"/>
    <w:unhideWhenUsed/>
    <w:rsid w:val="000E1FC1"/>
    <w:rPr>
      <w:color w:val="0000FF"/>
      <w:u w:val="single"/>
    </w:rPr>
  </w:style>
  <w:style w:type="paragraph" w:styleId="Revision">
    <w:name w:val="Revision"/>
    <w:hidden/>
    <w:uiPriority w:val="99"/>
    <w:semiHidden/>
    <w:rsid w:val="000155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Miller</dc:creator>
  <cp:keywords/>
  <dc:description/>
  <cp:lastModifiedBy>Sullivan, Peg</cp:lastModifiedBy>
  <cp:revision>5</cp:revision>
  <dcterms:created xsi:type="dcterms:W3CDTF">2021-02-26T17:56:00Z</dcterms:created>
  <dcterms:modified xsi:type="dcterms:W3CDTF">2021-03-29T23:46:00Z</dcterms:modified>
</cp:coreProperties>
</file>