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glossary/styles.xml" ContentType="application/vnd.openxmlformats-officedocument.wordprocessingml.style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20BCA" w:rsidRDefault="00716476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112.05pt;margin-top:9.2pt;width:6in;height:36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CC7341" w:rsidRPr="009E6800" w:rsidRDefault="00CC7341">
                  <w:pPr>
                    <w:rPr>
                      <w:rFonts w:asciiTheme="majorHAnsi" w:hAnsiTheme="majorHAnsi"/>
                      <w:b/>
                      <w:color w:val="365F91" w:themeColor="accent1" w:themeShade="BF"/>
                      <w:sz w:val="36"/>
                    </w:rPr>
                  </w:pPr>
                  <w:r w:rsidRPr="009E6800">
                    <w:rPr>
                      <w:rFonts w:asciiTheme="majorHAnsi" w:hAnsiTheme="majorHAnsi"/>
                      <w:b/>
                      <w:color w:val="365F91" w:themeColor="accent1" w:themeShade="BF"/>
                      <w:sz w:val="36"/>
                    </w:rPr>
                    <w:t>North Carolina Content Literacy Continuum</w:t>
                  </w:r>
                  <w:r w:rsidRPr="009E6800">
                    <w:rPr>
                      <w:rFonts w:ascii="Calibri" w:hAnsi="Calibri"/>
                      <w:b/>
                      <w:color w:val="365F91" w:themeColor="accent1" w:themeShade="BF"/>
                      <w:sz w:val="36"/>
                    </w:rPr>
                    <w:t>™</w:t>
                  </w:r>
                  <w:r w:rsidRPr="009E6800">
                    <w:rPr>
                      <w:rFonts w:asciiTheme="majorHAnsi" w:hAnsiTheme="majorHAnsi"/>
                      <w:b/>
                      <w:color w:val="365F91" w:themeColor="accent1" w:themeShade="BF"/>
                      <w:sz w:val="36"/>
                    </w:rPr>
                    <w:t xml:space="preserve"> Project</w:t>
                  </w:r>
                </w:p>
              </w:txbxContent>
            </v:textbox>
            <w10:wrap type="tight"/>
          </v:shape>
        </w:pict>
      </w:r>
      <w:r w:rsidR="00CC734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-340360</wp:posOffset>
            </wp:positionV>
            <wp:extent cx="1511935" cy="1219200"/>
            <wp:effectExtent l="25400" t="0" r="12065" b="0"/>
            <wp:wrapNone/>
            <wp:docPr id="3" name="" descr="lessons-lear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ssons-learn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BCA" w:rsidRPr="00120BCA" w:rsidRDefault="00120BCA" w:rsidP="00120BCA"/>
    <w:p w:rsidR="00120BCA" w:rsidRPr="00120BCA" w:rsidRDefault="00120BCA" w:rsidP="00120BCA"/>
    <w:p w:rsidR="009E6800" w:rsidRDefault="009E6800" w:rsidP="00120BCA"/>
    <w:p w:rsidR="009E6800" w:rsidRDefault="009E6800" w:rsidP="00120BCA"/>
    <w:p w:rsidR="009E6800" w:rsidRDefault="009E6800" w:rsidP="00120BCA"/>
    <w:p w:rsidR="009E6800" w:rsidRDefault="009E6800" w:rsidP="00120BCA"/>
    <w:p w:rsidR="00120BCA" w:rsidRDefault="00120BCA" w:rsidP="00120BCA">
      <w:r>
        <w:t>Lesson #1:  Create a Common Vision:</w:t>
      </w:r>
    </w:p>
    <w:p w:rsidR="00120BCA" w:rsidRDefault="00120BCA" w:rsidP="00120BCA"/>
    <w:p w:rsidR="00120BCA" w:rsidRDefault="00120BCA" w:rsidP="00120BCA">
      <w:pPr>
        <w:pStyle w:val="ListParagraph"/>
        <w:numPr>
          <w:ilvl w:val="0"/>
          <w:numId w:val="2"/>
        </w:numPr>
      </w:pPr>
      <w:r>
        <w:t xml:space="preserve">Listen closely to others and enlist their input in the creation of the shared vision. </w:t>
      </w:r>
    </w:p>
    <w:p w:rsidR="00C868F1" w:rsidRDefault="00E23B01" w:rsidP="00120BCA">
      <w:pPr>
        <w:pStyle w:val="ListParagraph"/>
        <w:numPr>
          <w:ilvl w:val="0"/>
          <w:numId w:val="2"/>
        </w:numPr>
      </w:pPr>
      <w:r>
        <w:t xml:space="preserve">Determine </w:t>
      </w:r>
      <w:r w:rsidR="001710B0">
        <w:t>effective ways to</w:t>
      </w:r>
      <w:r>
        <w:t xml:space="preserve"> deliver</w:t>
      </w:r>
      <w:r w:rsidR="00120BCA">
        <w:t xml:space="preserve"> a consistent </w:t>
      </w:r>
      <w:r w:rsidR="001710B0">
        <w:t>message.</w:t>
      </w:r>
    </w:p>
    <w:p w:rsidR="00120BCA" w:rsidRDefault="00C868F1" w:rsidP="00120BCA">
      <w:pPr>
        <w:pStyle w:val="ListParagraph"/>
        <w:numPr>
          <w:ilvl w:val="0"/>
          <w:numId w:val="2"/>
        </w:numPr>
      </w:pPr>
      <w:r>
        <w:t xml:space="preserve">Use the common vision as a launch pad for the creation of solid goals and action plans. </w:t>
      </w:r>
    </w:p>
    <w:p w:rsidR="00120BCA" w:rsidRDefault="00120BCA" w:rsidP="00120BCA"/>
    <w:p w:rsidR="00AB368A" w:rsidRDefault="00120BCA" w:rsidP="00120BCA">
      <w:r>
        <w:t>Lesson #2:  Build Structures of Support:</w:t>
      </w:r>
    </w:p>
    <w:p w:rsidR="00120BCA" w:rsidRDefault="00120BCA" w:rsidP="00120BCA"/>
    <w:p w:rsidR="00120BCA" w:rsidRDefault="00120BCA" w:rsidP="00120BCA">
      <w:pPr>
        <w:pStyle w:val="ListParagraph"/>
        <w:numPr>
          <w:ilvl w:val="0"/>
          <w:numId w:val="4"/>
        </w:numPr>
      </w:pPr>
      <w:r>
        <w:t>Develop effective teaming structures</w:t>
      </w:r>
      <w:r w:rsidR="005B0CE7">
        <w:t xml:space="preserve"> and </w:t>
      </w:r>
      <w:r w:rsidR="005B0CE7" w:rsidRPr="005B0CE7">
        <w:t>depict</w:t>
      </w:r>
      <w:r w:rsidR="005B0CE7">
        <w:t xml:space="preserve"> those on a</w:t>
      </w:r>
      <w:r w:rsidR="00E23B01">
        <w:t xml:space="preserve"> </w:t>
      </w:r>
      <w:r w:rsidR="005B0CE7">
        <w:t>detailed</w:t>
      </w:r>
      <w:r w:rsidR="00B739BA">
        <w:t xml:space="preserve"> </w:t>
      </w:r>
      <w:r w:rsidR="00E23B01">
        <w:t>organizational flow chart.</w:t>
      </w:r>
    </w:p>
    <w:p w:rsidR="00120BCA" w:rsidRDefault="00B739BA" w:rsidP="00120BCA">
      <w:pPr>
        <w:pStyle w:val="ListParagraph"/>
        <w:numPr>
          <w:ilvl w:val="0"/>
          <w:numId w:val="4"/>
        </w:numPr>
      </w:pPr>
      <w:r>
        <w:t xml:space="preserve">Establish </w:t>
      </w:r>
      <w:r w:rsidR="00120BCA">
        <w:t>communication plan</w:t>
      </w:r>
      <w:r>
        <w:t>s that promote a</w:t>
      </w:r>
      <w:r w:rsidR="00E23B01">
        <w:t xml:space="preserve"> two-way flow of information.</w:t>
      </w:r>
    </w:p>
    <w:p w:rsidR="00120BCA" w:rsidRDefault="00E23B01" w:rsidP="00120BCA">
      <w:pPr>
        <w:pStyle w:val="ListParagraph"/>
        <w:numPr>
          <w:ilvl w:val="0"/>
          <w:numId w:val="4"/>
        </w:numPr>
      </w:pPr>
      <w:r>
        <w:t>Design</w:t>
      </w:r>
      <w:r w:rsidR="00120BCA">
        <w:t xml:space="preserve"> a robust plan for professional development</w:t>
      </w:r>
      <w:r w:rsidR="001710B0">
        <w:t>, coaching and mentoring.</w:t>
      </w:r>
      <w:r>
        <w:t xml:space="preserve"> </w:t>
      </w:r>
      <w:r w:rsidR="00120BCA">
        <w:t xml:space="preserve"> </w:t>
      </w:r>
    </w:p>
    <w:p w:rsidR="00120BCA" w:rsidRDefault="00120BCA" w:rsidP="00120BCA"/>
    <w:p w:rsidR="00E23B01" w:rsidRDefault="00120BCA" w:rsidP="00120BCA">
      <w:r>
        <w:t xml:space="preserve">Lesson #3:  </w:t>
      </w:r>
      <w:r w:rsidR="001710B0">
        <w:t xml:space="preserve">Identify and </w:t>
      </w:r>
      <w:r w:rsidR="00444FAE">
        <w:t>F</w:t>
      </w:r>
      <w:r w:rsidR="00B739BA">
        <w:t>oster</w:t>
      </w:r>
      <w:r w:rsidR="00444FAE">
        <w:t xml:space="preserve"> C</w:t>
      </w:r>
      <w:r>
        <w:t>onnections:</w:t>
      </w:r>
    </w:p>
    <w:p w:rsidR="00120BCA" w:rsidRDefault="00120BCA" w:rsidP="00120BCA"/>
    <w:p w:rsidR="00120BCA" w:rsidRDefault="005B0CE7" w:rsidP="00120BCA">
      <w:pPr>
        <w:pStyle w:val="ListParagraph"/>
        <w:numPr>
          <w:ilvl w:val="0"/>
          <w:numId w:val="6"/>
        </w:numPr>
      </w:pPr>
      <w:r>
        <w:t xml:space="preserve">Take time to understand the system/organization that is undergoing the change. </w:t>
      </w:r>
    </w:p>
    <w:p w:rsidR="00120BCA" w:rsidRDefault="00CC7341" w:rsidP="00120BCA">
      <w:pPr>
        <w:pStyle w:val="ListParagraph"/>
        <w:numPr>
          <w:ilvl w:val="0"/>
          <w:numId w:val="6"/>
        </w:numPr>
      </w:pPr>
      <w:r>
        <w:t>Recognize other current initiatives and connect the work to them.</w:t>
      </w:r>
    </w:p>
    <w:p w:rsidR="00120BCA" w:rsidRDefault="00CC7341" w:rsidP="00120BCA">
      <w:pPr>
        <w:pStyle w:val="ListParagraph"/>
        <w:numPr>
          <w:ilvl w:val="0"/>
          <w:numId w:val="6"/>
        </w:numPr>
      </w:pPr>
      <w:r>
        <w:t>Build positive working relationships.</w:t>
      </w:r>
    </w:p>
    <w:p w:rsidR="00120BCA" w:rsidRDefault="00120BCA" w:rsidP="00120BCA"/>
    <w:p w:rsidR="00120BCA" w:rsidRDefault="00120BCA" w:rsidP="00120BCA">
      <w:r>
        <w:t>Lesson #4:  Build Capacity:</w:t>
      </w:r>
    </w:p>
    <w:p w:rsidR="00120BCA" w:rsidRDefault="00120BCA" w:rsidP="00120BCA"/>
    <w:p w:rsidR="005B0CE7" w:rsidRDefault="00B739BA" w:rsidP="00120BCA">
      <w:pPr>
        <w:pStyle w:val="ListParagraph"/>
        <w:numPr>
          <w:ilvl w:val="0"/>
          <w:numId w:val="7"/>
        </w:numPr>
      </w:pPr>
      <w:r>
        <w:t xml:space="preserve">Identify individuals who exhibit potential and recruit them to assume leadership roles. </w:t>
      </w:r>
    </w:p>
    <w:p w:rsidR="00B739BA" w:rsidRDefault="005B0CE7" w:rsidP="00120BCA">
      <w:pPr>
        <w:pStyle w:val="ListParagraph"/>
        <w:numPr>
          <w:ilvl w:val="0"/>
          <w:numId w:val="7"/>
        </w:numPr>
      </w:pPr>
      <w:r>
        <w:t>Be prepared to address shifts in key personnel.</w:t>
      </w:r>
      <w:r w:rsidR="00B739BA">
        <w:t xml:space="preserve">  </w:t>
      </w:r>
    </w:p>
    <w:p w:rsidR="00120BCA" w:rsidRDefault="00B739BA" w:rsidP="00120BCA">
      <w:pPr>
        <w:pStyle w:val="ListParagraph"/>
        <w:numPr>
          <w:ilvl w:val="0"/>
          <w:numId w:val="7"/>
        </w:numPr>
      </w:pPr>
      <w:r>
        <w:t>Take advantage</w:t>
      </w:r>
      <w:r w:rsidR="005B0CE7">
        <w:t xml:space="preserve"> of the micro-credential system of certification.</w:t>
      </w:r>
      <w:r>
        <w:t xml:space="preserve"> </w:t>
      </w:r>
    </w:p>
    <w:p w:rsidR="00120BCA" w:rsidRDefault="00120BCA" w:rsidP="00120BCA"/>
    <w:p w:rsidR="00120BCA" w:rsidRPr="001710B0" w:rsidRDefault="00120BCA" w:rsidP="00120BCA">
      <w:pPr>
        <w:rPr>
          <w:b/>
        </w:rPr>
      </w:pPr>
      <w:r>
        <w:t xml:space="preserve">Lesson #5:  </w:t>
      </w:r>
      <w:r w:rsidRPr="001710B0">
        <w:rPr>
          <w:b/>
        </w:rPr>
        <w:t>DON’T GIVE UP!</w:t>
      </w:r>
    </w:p>
    <w:p w:rsidR="00120BCA" w:rsidRDefault="00120BCA" w:rsidP="00120BCA"/>
    <w:p w:rsidR="00E23B01" w:rsidRDefault="00E23B01" w:rsidP="001710B0">
      <w:pPr>
        <w:ind w:left="1080"/>
      </w:pPr>
      <w:r>
        <w:t>“Improvement seldom, if ever, occurs on a straight trajectory; it typically involves bumps and slides, as well as gratifying leaps.”</w:t>
      </w:r>
    </w:p>
    <w:p w:rsidR="001710B0" w:rsidRDefault="00E23B01" w:rsidP="00E23B01">
      <w:pPr>
        <w:rPr>
          <w:i/>
          <w:sz w:val="22"/>
        </w:rPr>
      </w:pPr>
      <w:r w:rsidRPr="001710B0">
        <w:rPr>
          <w:i/>
          <w:sz w:val="22"/>
        </w:rPr>
        <w:tab/>
      </w:r>
      <w:r w:rsidRPr="001710B0">
        <w:rPr>
          <w:i/>
          <w:sz w:val="22"/>
        </w:rPr>
        <w:tab/>
      </w:r>
      <w:r w:rsidRPr="001710B0">
        <w:rPr>
          <w:i/>
          <w:sz w:val="22"/>
        </w:rPr>
        <w:tab/>
        <w:t>School Reform from the Inside Out</w:t>
      </w:r>
      <w:r w:rsidR="001710B0" w:rsidRPr="001710B0">
        <w:rPr>
          <w:i/>
          <w:sz w:val="22"/>
        </w:rPr>
        <w:t>:  Policy, Practice, and Performance</w:t>
      </w:r>
    </w:p>
    <w:p w:rsidR="00120BCA" w:rsidRPr="001710B0" w:rsidRDefault="001710B0" w:rsidP="00E23B01">
      <w:pPr>
        <w:rPr>
          <w:sz w:val="22"/>
        </w:rPr>
      </w:pP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proofErr w:type="gramStart"/>
      <w:r>
        <w:rPr>
          <w:sz w:val="22"/>
        </w:rPr>
        <w:t>by</w:t>
      </w:r>
      <w:proofErr w:type="gramEnd"/>
      <w:r>
        <w:rPr>
          <w:sz w:val="22"/>
        </w:rPr>
        <w:t xml:space="preserve"> Richard F. Elmore</w:t>
      </w:r>
    </w:p>
    <w:p w:rsidR="00120BCA" w:rsidRDefault="007514F7" w:rsidP="00120BCA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86360</wp:posOffset>
            </wp:positionV>
            <wp:extent cx="1715135" cy="1311910"/>
            <wp:effectExtent l="25400" t="0" r="12065" b="0"/>
            <wp:wrapNone/>
            <wp:docPr id="2" name="" descr="NCDP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CDPI log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5135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BCA" w:rsidRPr="00120BCA" w:rsidRDefault="00120BCA" w:rsidP="00120BCA">
      <w:pPr>
        <w:ind w:left="1440"/>
      </w:pPr>
    </w:p>
    <w:sectPr w:rsidR="00120BCA" w:rsidRPr="00120BCA" w:rsidSect="007514F7">
      <w:footerReference w:type="default" r:id="rId7"/>
      <w:pgSz w:w="12240" w:h="15840"/>
      <w:pgMar w:top="1440" w:right="1080" w:bottom="1440" w:left="1080" w:header="0" w:footer="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9931"/>
      <w:gridCol w:w="379"/>
    </w:tblGrid>
    <w:tr w:rsidR="007514F7" w:rsidRPr="0025191F">
      <w:tc>
        <w:tcPr>
          <w:tcW w:w="4816" w:type="pct"/>
          <w:tcBorders>
            <w:bottom w:val="nil"/>
            <w:right w:val="single" w:sz="4" w:space="0" w:color="BFBFBF"/>
          </w:tcBorders>
        </w:tcPr>
        <w:p w:rsidR="007514F7" w:rsidRPr="007514F7" w:rsidRDefault="00716476" w:rsidP="007514F7">
          <w:pPr>
            <w:jc w:val="center"/>
            <w:rPr>
              <w:rFonts w:ascii="Calibri" w:eastAsia="Cambria" w:hAnsi="Calibri"/>
              <w:b/>
              <w:color w:val="595959" w:themeColor="text1" w:themeTint="A6"/>
              <w:sz w:val="20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0"/>
              </w:rPr>
              <w:alias w:val="Title"/>
              <w:id w:val="176972171"/>
              <w:placeholder>
                <w:docPart w:val="0762175CDC707C42A26BAEE345CE77C6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7514F7" w:rsidRPr="007514F7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0"/>
                </w:rPr>
                <w:t>KUCRL Learning conference 2017:  Addressing Adolescent Literacy:  One State’s Story</w:t>
              </w:r>
            </w:sdtContent>
          </w:sdt>
        </w:p>
      </w:tc>
      <w:tc>
        <w:tcPr>
          <w:tcW w:w="184" w:type="pct"/>
          <w:tcBorders>
            <w:left w:val="single" w:sz="4" w:space="0" w:color="BFBFBF"/>
            <w:bottom w:val="nil"/>
          </w:tcBorders>
        </w:tcPr>
        <w:p w:rsidR="007514F7" w:rsidRPr="0025191F" w:rsidRDefault="007514F7" w:rsidP="00ED160F">
          <w:pPr>
            <w:rPr>
              <w:rFonts w:ascii="Calibri" w:eastAsia="Cambria" w:hAnsi="Calibri"/>
              <w:color w:val="595959" w:themeColor="text1" w:themeTint="A6"/>
            </w:rPr>
          </w:pPr>
        </w:p>
      </w:tc>
    </w:tr>
  </w:tbl>
  <w:p w:rsidR="007514F7" w:rsidRDefault="007514F7">
    <w:pPr>
      <w:pStyle w:val="Footer"/>
    </w:pP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B1F"/>
    <w:multiLevelType w:val="hybridMultilevel"/>
    <w:tmpl w:val="B33A44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D0A6706"/>
    <w:multiLevelType w:val="hybridMultilevel"/>
    <w:tmpl w:val="4AAE5C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2EC6F0F"/>
    <w:multiLevelType w:val="hybridMultilevel"/>
    <w:tmpl w:val="B24481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4661B0B"/>
    <w:multiLevelType w:val="hybridMultilevel"/>
    <w:tmpl w:val="4D4016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6205974"/>
    <w:multiLevelType w:val="hybridMultilevel"/>
    <w:tmpl w:val="FA58B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8A50D6F"/>
    <w:multiLevelType w:val="hybridMultilevel"/>
    <w:tmpl w:val="32AC4A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DB71208"/>
    <w:multiLevelType w:val="hybridMultilevel"/>
    <w:tmpl w:val="F118E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692049"/>
    <w:multiLevelType w:val="hybridMultilevel"/>
    <w:tmpl w:val="9FB099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6FB2EB5"/>
    <w:multiLevelType w:val="hybridMultilevel"/>
    <w:tmpl w:val="3286C7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20BCA"/>
    <w:rsid w:val="00120BCA"/>
    <w:rsid w:val="001710B0"/>
    <w:rsid w:val="00444FAE"/>
    <w:rsid w:val="005B0CE7"/>
    <w:rsid w:val="00716476"/>
    <w:rsid w:val="007514F7"/>
    <w:rsid w:val="008A6EE7"/>
    <w:rsid w:val="009E6800"/>
    <w:rsid w:val="00AB368A"/>
    <w:rsid w:val="00B739BA"/>
    <w:rsid w:val="00C868F1"/>
    <w:rsid w:val="00CC7341"/>
    <w:rsid w:val="00D06EB1"/>
    <w:rsid w:val="00E23B01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18B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20B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514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14F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514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14F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glossaryDocument" Target="glossary/document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62175CDC707C42A26BAEE345CE7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A9C3A-A9C6-CE41-A305-7D5245D9248D}"/>
      </w:docPartPr>
      <w:docPartBody>
        <w:p w:rsidR="004F3AFF" w:rsidRDefault="004966B0" w:rsidP="004966B0">
          <w:pPr>
            <w:pStyle w:val="0762175CDC707C42A26BAEE345CE77C6"/>
          </w:pPr>
          <w:r>
            <w:rPr>
              <w:b/>
              <w:bCs/>
              <w:caps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4966B0"/>
    <w:rsid w:val="004966B0"/>
    <w:rsid w:val="004F3AFF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AF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32BD5C49795E5E4D90635EE554B6D59F">
    <w:name w:val="32BD5C49795E5E4D90635EE554B6D59F"/>
    <w:rsid w:val="004966B0"/>
  </w:style>
  <w:style w:type="paragraph" w:customStyle="1" w:styleId="0762175CDC707C42A26BAEE345CE77C6">
    <w:name w:val="0762175CDC707C42A26BAEE345CE77C6"/>
    <w:rsid w:val="004966B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187</Words>
  <Characters>1068</Characters>
  <Application>Microsoft Macintosh Word</Application>
  <DocSecurity>0</DocSecurity>
  <Lines>8</Lines>
  <Paragraphs>2</Paragraphs>
  <ScaleCrop>false</ScaleCrop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KUCRL Learning conference 2017:  Addressing Adolescent Literacy:  One State’s Story</dc:title>
  <dc:subject/>
  <dc:creator>Pam Leitzell</dc:creator>
  <cp:keywords/>
  <cp:lastModifiedBy>Pam Leitzell</cp:lastModifiedBy>
  <cp:revision>4</cp:revision>
  <dcterms:created xsi:type="dcterms:W3CDTF">2017-07-06T02:22:00Z</dcterms:created>
  <dcterms:modified xsi:type="dcterms:W3CDTF">2017-07-06T04:16:00Z</dcterms:modified>
</cp:coreProperties>
</file>