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974B" w14:textId="77777777" w:rsidR="0094105E" w:rsidRDefault="001858D7">
      <w:pPr>
        <w:spacing w:after="20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Dear Principal,</w:t>
      </w:r>
    </w:p>
    <w:p w14:paraId="685BD310" w14:textId="3CCD7656" w:rsidR="0094105E" w:rsidRDefault="001858D7">
      <w:pPr>
        <w:spacing w:after="120" w:line="360" w:lineRule="auto"/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We are excited to begin rolling out your school's new supplemental reading course called </w:t>
      </w:r>
      <w:r>
        <w:rPr>
          <w:rFonts w:ascii="Georgia" w:eastAsia="Georgia" w:hAnsi="Georgia" w:cs="Georgia"/>
          <w:i/>
          <w:sz w:val="24"/>
          <w:szCs w:val="24"/>
        </w:rPr>
        <w:t>Fusion Reading,</w:t>
      </w:r>
      <w:r>
        <w:rPr>
          <w:rFonts w:ascii="Georgia" w:eastAsia="Georgia" w:hAnsi="Georgia" w:cs="Georgia"/>
          <w:sz w:val="24"/>
          <w:szCs w:val="24"/>
        </w:rPr>
        <w:t xml:space="preserve"> a comprehensive and highly structured program designed to teach reading strategies to your teachers on DATE</w:t>
      </w:r>
      <w:r>
        <w:rPr>
          <w:rFonts w:ascii="Georgia" w:eastAsia="Georgia" w:hAnsi="Georgia" w:cs="Georgia"/>
          <w:sz w:val="24"/>
          <w:szCs w:val="24"/>
        </w:rPr>
        <w:t>. As part of the professional development (PD), we’d like to invite you and any other of your school administrators involved in the Fusion R</w:t>
      </w:r>
      <w:r>
        <w:rPr>
          <w:rFonts w:ascii="Georgia" w:eastAsia="Georgia" w:hAnsi="Georgia" w:cs="Georgia"/>
          <w:sz w:val="24"/>
          <w:szCs w:val="24"/>
        </w:rPr>
        <w:t>eading program implementation to participate with your teacher(s) in one half of the first day of PD for: a comprehensive overview of the program, to learn more about its instructional components, and to participate in an expert model of a Fusion Reading l</w:t>
      </w:r>
      <w:r>
        <w:rPr>
          <w:rFonts w:ascii="Georgia" w:eastAsia="Georgia" w:hAnsi="Georgia" w:cs="Georgia"/>
          <w:sz w:val="24"/>
          <w:szCs w:val="24"/>
        </w:rPr>
        <w:t xml:space="preserve">esson. Before breaking for lunch, we will invite all administrators to a separate </w:t>
      </w:r>
      <w:proofErr w:type="gramStart"/>
      <w:r>
        <w:rPr>
          <w:rFonts w:ascii="Georgia" w:eastAsia="Georgia" w:hAnsi="Georgia" w:cs="Georgia"/>
          <w:sz w:val="24"/>
          <w:szCs w:val="24"/>
        </w:rPr>
        <w:t>30 minute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breakout session to discuss how to support successful implementation of Fusion Reading.</w:t>
      </w:r>
    </w:p>
    <w:p w14:paraId="25BCFD35" w14:textId="618606AE" w:rsidR="0094105E" w:rsidRDefault="001858D7">
      <w:pPr>
        <w:spacing w:after="120" w:line="360" w:lineRule="auto"/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We look forward to seeing you on DATE</w:t>
      </w:r>
      <w:r>
        <w:rPr>
          <w:rFonts w:ascii="Georgia" w:eastAsia="Georgia" w:hAnsi="Georgia" w:cs="Georgia"/>
          <w:sz w:val="24"/>
          <w:szCs w:val="24"/>
        </w:rPr>
        <w:t xml:space="preserve">, from 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TIME </w:t>
      </w:r>
      <w:r>
        <w:rPr>
          <w:rFonts w:ascii="Georgia" w:eastAsia="Georgia" w:hAnsi="Georgia" w:cs="Georgia"/>
          <w:sz w:val="24"/>
          <w:szCs w:val="24"/>
        </w:rPr>
        <w:t xml:space="preserve"> for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your o</w:t>
      </w:r>
      <w:r>
        <w:rPr>
          <w:rFonts w:ascii="Georgia" w:eastAsia="Georgia" w:hAnsi="Georgia" w:cs="Georgia"/>
          <w:sz w:val="24"/>
          <w:szCs w:val="24"/>
        </w:rPr>
        <w:t xml:space="preserve">verview and special administrator breakout planning session using the Zoom information below. </w:t>
      </w:r>
    </w:p>
    <w:tbl>
      <w:tblPr>
        <w:tblStyle w:val="a"/>
        <w:tblW w:w="8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5"/>
        <w:gridCol w:w="6470"/>
      </w:tblGrid>
      <w:tr w:rsidR="0094105E" w14:paraId="5F84CB2A" w14:textId="77777777">
        <w:trPr>
          <w:trHeight w:val="500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AAE0" w14:textId="77777777" w:rsidR="0094105E" w:rsidRDefault="001858D7">
            <w:pPr>
              <w:spacing w:line="327" w:lineRule="auto"/>
              <w:rPr>
                <w:rFonts w:ascii="Georgia" w:eastAsia="Georgia" w:hAnsi="Georgia" w:cs="Georgia"/>
                <w:color w:val="0000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FF"/>
                <w:sz w:val="24"/>
                <w:szCs w:val="24"/>
              </w:rPr>
              <w:t>Meeting URL: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3E4C" w14:textId="55B58B13" w:rsidR="0094105E" w:rsidRDefault="0094105E">
            <w:pPr>
              <w:spacing w:line="327" w:lineRule="auto"/>
              <w:rPr>
                <w:rFonts w:ascii="Georgia" w:eastAsia="Georgia" w:hAnsi="Georgia" w:cs="Georgia"/>
                <w:color w:val="0000FF"/>
                <w:sz w:val="24"/>
                <w:szCs w:val="24"/>
                <w:u w:val="single"/>
              </w:rPr>
            </w:pPr>
          </w:p>
        </w:tc>
      </w:tr>
      <w:tr w:rsidR="0094105E" w14:paraId="1880FD84" w14:textId="77777777">
        <w:trPr>
          <w:trHeight w:val="470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F748" w14:textId="77777777" w:rsidR="0094105E" w:rsidRDefault="001858D7">
            <w:pPr>
              <w:rPr>
                <w:rFonts w:ascii="Georgia" w:eastAsia="Georgia" w:hAnsi="Georgia" w:cs="Georgia"/>
                <w:color w:val="0000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FF"/>
                <w:sz w:val="24"/>
                <w:szCs w:val="24"/>
              </w:rPr>
              <w:t>Meeting ID: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3A5" w14:textId="30A53AF5" w:rsidR="0094105E" w:rsidRDefault="0094105E">
            <w:pPr>
              <w:rPr>
                <w:rFonts w:ascii="Georgia" w:eastAsia="Georgia" w:hAnsi="Georgia" w:cs="Georgia"/>
                <w:color w:val="0000FF"/>
                <w:sz w:val="24"/>
                <w:szCs w:val="24"/>
              </w:rPr>
            </w:pPr>
          </w:p>
        </w:tc>
      </w:tr>
      <w:tr w:rsidR="0094105E" w14:paraId="761CC63A" w14:textId="77777777">
        <w:trPr>
          <w:trHeight w:val="470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6C00" w14:textId="77777777" w:rsidR="0094105E" w:rsidRDefault="001858D7">
            <w:pPr>
              <w:rPr>
                <w:rFonts w:ascii="Georgia" w:eastAsia="Georgia" w:hAnsi="Georgia" w:cs="Georgia"/>
                <w:color w:val="0000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FF"/>
                <w:sz w:val="24"/>
                <w:szCs w:val="24"/>
              </w:rPr>
              <w:t>Passcode: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F493" w14:textId="4BD8C19B" w:rsidR="0094105E" w:rsidRDefault="0094105E">
            <w:pPr>
              <w:rPr>
                <w:rFonts w:ascii="Georgia" w:eastAsia="Georgia" w:hAnsi="Georgia" w:cs="Georgia"/>
                <w:color w:val="0000FF"/>
                <w:sz w:val="24"/>
                <w:szCs w:val="24"/>
              </w:rPr>
            </w:pPr>
          </w:p>
          <w:p w14:paraId="237C6433" w14:textId="77777777" w:rsidR="0094105E" w:rsidRDefault="0094105E">
            <w:pPr>
              <w:rPr>
                <w:rFonts w:ascii="Georgia" w:eastAsia="Georgia" w:hAnsi="Georgia" w:cs="Georgia"/>
                <w:color w:val="0000FF"/>
                <w:sz w:val="24"/>
                <w:szCs w:val="24"/>
              </w:rPr>
            </w:pPr>
          </w:p>
        </w:tc>
      </w:tr>
    </w:tbl>
    <w:p w14:paraId="48ED86C5" w14:textId="77777777" w:rsidR="0094105E" w:rsidRDefault="001858D7">
      <w:pPr>
        <w:spacing w:after="2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Sincerely,</w:t>
      </w:r>
    </w:p>
    <w:p w14:paraId="6F445A67" w14:textId="55882D40" w:rsidR="0094105E" w:rsidRDefault="0094105E">
      <w:pPr>
        <w:rPr>
          <w:rFonts w:ascii="Georgia" w:eastAsia="Georgia" w:hAnsi="Georgia" w:cs="Georgia"/>
          <w:sz w:val="24"/>
          <w:szCs w:val="24"/>
        </w:rPr>
      </w:pPr>
    </w:p>
    <w:sectPr w:rsidR="009410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5E"/>
    <w:rsid w:val="001858D7"/>
    <w:rsid w:val="009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EF672"/>
  <w15:docId w15:val="{6D006392-F9F2-A943-843E-2224195C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Tipton, Mona D</cp:lastModifiedBy>
  <cp:revision>2</cp:revision>
  <dcterms:created xsi:type="dcterms:W3CDTF">2021-10-28T20:07:00Z</dcterms:created>
  <dcterms:modified xsi:type="dcterms:W3CDTF">2021-10-28T20:08:00Z</dcterms:modified>
</cp:coreProperties>
</file>