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82649" w14:textId="77777777" w:rsidR="00D030CB" w:rsidRDefault="00D030CB" w:rsidP="00D030CB">
      <w:pPr>
        <w:spacing w:line="240" w:lineRule="auto"/>
        <w:ind w:left="360"/>
        <w:jc w:val="center"/>
        <w:rPr>
          <w:b/>
          <w:sz w:val="32"/>
          <w:szCs w:val="32"/>
        </w:rPr>
      </w:pPr>
      <w:r w:rsidRPr="0019417C">
        <w:rPr>
          <w:b/>
          <w:sz w:val="32"/>
          <w:szCs w:val="32"/>
        </w:rPr>
        <w:t xml:space="preserve">Observation Checklist for </w:t>
      </w:r>
    </w:p>
    <w:p w14:paraId="3041BC7A" w14:textId="77777777" w:rsidR="00D030CB" w:rsidRPr="00D030CB" w:rsidRDefault="007A27DA" w:rsidP="00D030CB">
      <w:pPr>
        <w:spacing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High-</w:t>
      </w:r>
      <w:r w:rsidR="00D929DF">
        <w:rPr>
          <w:b/>
          <w:sz w:val="32"/>
          <w:szCs w:val="32"/>
        </w:rPr>
        <w:t xml:space="preserve">Quality Professional Development </w:t>
      </w:r>
      <w:r w:rsidR="000015CB">
        <w:rPr>
          <w:b/>
          <w:sz w:val="32"/>
          <w:szCs w:val="32"/>
        </w:rPr>
        <w:t>Training</w:t>
      </w:r>
    </w:p>
    <w:p w14:paraId="64E854C2" w14:textId="77777777" w:rsidR="00D030CB" w:rsidRDefault="00D030CB" w:rsidP="00D030CB">
      <w:pPr>
        <w:spacing w:line="240" w:lineRule="auto"/>
        <w:jc w:val="both"/>
        <w:rPr>
          <w:szCs w:val="24"/>
        </w:rPr>
      </w:pPr>
    </w:p>
    <w:p w14:paraId="40087868" w14:textId="77777777" w:rsidR="00B7029E" w:rsidRDefault="0082772C" w:rsidP="00D030C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The </w:t>
      </w:r>
      <w:r>
        <w:rPr>
          <w:i/>
          <w:iCs/>
          <w:szCs w:val="24"/>
        </w:rPr>
        <w:t>Observation Checklist for High Quality Professional Development</w:t>
      </w:r>
      <w:r w:rsidR="007C23F8">
        <w:rPr>
          <w:i/>
          <w:iCs/>
          <w:szCs w:val="24"/>
        </w:rPr>
        <w:t xml:space="preserve"> Training</w:t>
      </w:r>
      <w:r w:rsidR="00D03FF8">
        <w:rPr>
          <w:rStyle w:val="FootnoteReference"/>
          <w:i/>
          <w:iCs/>
          <w:szCs w:val="24"/>
        </w:rPr>
        <w:footnoteReference w:id="1"/>
      </w:r>
      <w:r>
        <w:rPr>
          <w:szCs w:val="24"/>
        </w:rPr>
        <w:t xml:space="preserve"> was designed to be completed by an observ</w:t>
      </w:r>
      <w:bookmarkStart w:id="0" w:name="_GoBack"/>
      <w:bookmarkEnd w:id="0"/>
      <w:r>
        <w:rPr>
          <w:szCs w:val="24"/>
        </w:rPr>
        <w:t xml:space="preserve">er to determine the level of quality </w:t>
      </w:r>
      <w:r w:rsidR="008F0D8E">
        <w:rPr>
          <w:szCs w:val="24"/>
        </w:rPr>
        <w:t>of</w:t>
      </w:r>
      <w:r>
        <w:rPr>
          <w:szCs w:val="24"/>
        </w:rPr>
        <w:t xml:space="preserve"> professional development</w:t>
      </w:r>
      <w:r w:rsidR="008F0D8E">
        <w:rPr>
          <w:szCs w:val="24"/>
        </w:rPr>
        <w:t xml:space="preserve"> training.  It can also be used</w:t>
      </w:r>
      <w:r>
        <w:rPr>
          <w:szCs w:val="24"/>
        </w:rPr>
        <w:t xml:space="preserve"> to provid</w:t>
      </w:r>
      <w:r w:rsidR="008F0D8E">
        <w:rPr>
          <w:szCs w:val="24"/>
        </w:rPr>
        <w:t>e ongoing feedback and coaching to</w:t>
      </w:r>
      <w:r>
        <w:rPr>
          <w:szCs w:val="24"/>
        </w:rPr>
        <w:t xml:space="preserve"> </w:t>
      </w:r>
      <w:r w:rsidR="005A6596">
        <w:rPr>
          <w:szCs w:val="24"/>
        </w:rPr>
        <w:t xml:space="preserve">peers who provide </w:t>
      </w:r>
      <w:r>
        <w:rPr>
          <w:szCs w:val="24"/>
        </w:rPr>
        <w:t xml:space="preserve">professional development </w:t>
      </w:r>
      <w:r w:rsidR="008F0D8E">
        <w:rPr>
          <w:szCs w:val="24"/>
        </w:rPr>
        <w:t>training</w:t>
      </w:r>
      <w:r>
        <w:rPr>
          <w:szCs w:val="24"/>
        </w:rPr>
        <w:t xml:space="preserve">. </w:t>
      </w:r>
      <w:r w:rsidR="00280442">
        <w:rPr>
          <w:szCs w:val="24"/>
        </w:rPr>
        <w:t xml:space="preserve">Furthermore, it can be used as a guidance document when designing or revising </w:t>
      </w:r>
      <w:r w:rsidR="002302D4">
        <w:rPr>
          <w:szCs w:val="24"/>
        </w:rPr>
        <w:t xml:space="preserve">professional development. </w:t>
      </w:r>
      <w:r>
        <w:rPr>
          <w:szCs w:val="24"/>
        </w:rPr>
        <w:t xml:space="preserve">The tool represents a compilation of research-identified indicators that should be present in high quality </w:t>
      </w:r>
      <w:r w:rsidR="007C23F8">
        <w:rPr>
          <w:szCs w:val="24"/>
        </w:rPr>
        <w:t>training</w:t>
      </w:r>
      <w:r>
        <w:rPr>
          <w:szCs w:val="24"/>
        </w:rPr>
        <w:t>. Professional development</w:t>
      </w:r>
      <w:r w:rsidR="0006588A">
        <w:rPr>
          <w:szCs w:val="24"/>
        </w:rPr>
        <w:t xml:space="preserve"> training</w:t>
      </w:r>
      <w:r>
        <w:rPr>
          <w:szCs w:val="24"/>
        </w:rPr>
        <w:t xml:space="preserve"> </w:t>
      </w:r>
      <w:r w:rsidR="00E53645" w:rsidRPr="00E53645">
        <w:rPr>
          <w:szCs w:val="24"/>
        </w:rPr>
        <w:t>with a maximum of one item missed per domain on the checklist</w:t>
      </w:r>
      <w:r w:rsidR="00E53645">
        <w:rPr>
          <w:szCs w:val="24"/>
        </w:rPr>
        <w:t xml:space="preserve"> </w:t>
      </w:r>
      <w:r>
        <w:rPr>
          <w:szCs w:val="24"/>
        </w:rPr>
        <w:t>can be considered high quality.</w:t>
      </w:r>
    </w:p>
    <w:p w14:paraId="20001722" w14:textId="77777777" w:rsidR="00BC60C3" w:rsidRDefault="00BC60C3" w:rsidP="00D030CB">
      <w:pPr>
        <w:spacing w:line="240" w:lineRule="auto"/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808DA" w:rsidRPr="006808DA" w14:paraId="1AC0C0B6" w14:textId="77777777" w:rsidTr="00AB3CDA">
        <w:trPr>
          <w:trHeight w:val="986"/>
        </w:trPr>
        <w:tc>
          <w:tcPr>
            <w:tcW w:w="9576" w:type="dxa"/>
          </w:tcPr>
          <w:p w14:paraId="3E8435AA" w14:textId="77777777" w:rsidR="00E95F2C" w:rsidRPr="00E95F2C" w:rsidRDefault="00E95F2C" w:rsidP="00E4173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95F2C">
              <w:rPr>
                <w:b/>
                <w:sz w:val="28"/>
                <w:szCs w:val="28"/>
              </w:rPr>
              <w:t>Context Information</w:t>
            </w:r>
          </w:p>
          <w:p w14:paraId="710B8B14" w14:textId="77777777" w:rsidR="006808DA" w:rsidRPr="00E41731" w:rsidRDefault="006808DA" w:rsidP="00E41731">
            <w:pPr>
              <w:spacing w:before="120"/>
              <w:jc w:val="center"/>
              <w:rPr>
                <w:b/>
                <w:szCs w:val="24"/>
              </w:rPr>
            </w:pPr>
            <w:r w:rsidRPr="00E41731">
              <w:rPr>
                <w:b/>
                <w:szCs w:val="24"/>
              </w:rPr>
              <w:t>Date:</w:t>
            </w:r>
            <w:r w:rsidR="00E41731" w:rsidRPr="00E41731">
              <w:rPr>
                <w:b/>
                <w:szCs w:val="24"/>
              </w:rPr>
              <w:t xml:space="preserve"> </w:t>
            </w:r>
            <w:r w:rsidR="00E41731">
              <w:rPr>
                <w:b/>
                <w:szCs w:val="24"/>
              </w:rPr>
              <w:t>_______________________________</w:t>
            </w:r>
            <w:r w:rsidR="00E41731" w:rsidRPr="00E41731">
              <w:rPr>
                <w:b/>
                <w:szCs w:val="24"/>
              </w:rPr>
              <w:t xml:space="preserve"> </w:t>
            </w:r>
            <w:proofErr w:type="gramStart"/>
            <w:r w:rsidR="002D0D8D" w:rsidRPr="00E41731">
              <w:rPr>
                <w:b/>
                <w:szCs w:val="24"/>
              </w:rPr>
              <w:t>Location</w:t>
            </w:r>
            <w:r w:rsidRPr="00E41731">
              <w:rPr>
                <w:b/>
                <w:szCs w:val="24"/>
              </w:rPr>
              <w:t>:_</w:t>
            </w:r>
            <w:proofErr w:type="gramEnd"/>
            <w:r w:rsidRPr="00E41731">
              <w:rPr>
                <w:b/>
                <w:szCs w:val="24"/>
              </w:rPr>
              <w:t>______________________________</w:t>
            </w:r>
          </w:p>
          <w:p w14:paraId="62E373AD" w14:textId="77777777" w:rsidR="006808DA" w:rsidRDefault="006808DA" w:rsidP="00E41731">
            <w:pPr>
              <w:spacing w:before="240" w:after="240"/>
              <w:jc w:val="center"/>
              <w:rPr>
                <w:b/>
                <w:szCs w:val="24"/>
              </w:rPr>
            </w:pPr>
            <w:r w:rsidRPr="00E41731">
              <w:rPr>
                <w:b/>
                <w:szCs w:val="24"/>
              </w:rPr>
              <w:t>Topic:</w:t>
            </w:r>
            <w:r w:rsidR="00C55F54">
              <w:rPr>
                <w:b/>
                <w:szCs w:val="24"/>
              </w:rPr>
              <w:t xml:space="preserve"> __________________________</w:t>
            </w:r>
            <w:r w:rsidR="00E41731" w:rsidRPr="00E41731">
              <w:rPr>
                <w:b/>
                <w:szCs w:val="24"/>
              </w:rPr>
              <w:t xml:space="preserve">____ </w:t>
            </w:r>
            <w:proofErr w:type="gramStart"/>
            <w:r w:rsidR="002D0D8D" w:rsidRPr="00E41731">
              <w:rPr>
                <w:b/>
                <w:szCs w:val="24"/>
              </w:rPr>
              <w:t>Presenter:_</w:t>
            </w:r>
            <w:proofErr w:type="gramEnd"/>
            <w:r w:rsidR="002D0D8D" w:rsidRPr="00E41731">
              <w:rPr>
                <w:b/>
                <w:szCs w:val="24"/>
              </w:rPr>
              <w:t>___________________</w:t>
            </w:r>
            <w:r w:rsidR="00E95F2C" w:rsidRPr="00E41731">
              <w:rPr>
                <w:b/>
                <w:szCs w:val="24"/>
              </w:rPr>
              <w:t>_</w:t>
            </w:r>
            <w:r w:rsidR="002D0D8D" w:rsidRPr="00E41731">
              <w:rPr>
                <w:b/>
                <w:szCs w:val="24"/>
              </w:rPr>
              <w:t>_________</w:t>
            </w:r>
          </w:p>
          <w:p w14:paraId="4AD9A5F7" w14:textId="77777777" w:rsidR="00280442" w:rsidRPr="006808DA" w:rsidRDefault="00280442" w:rsidP="00C07D7E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Cs w:val="24"/>
              </w:rPr>
              <w:t>Obs</w:t>
            </w:r>
            <w:r w:rsidR="00C55F54">
              <w:rPr>
                <w:b/>
                <w:szCs w:val="24"/>
              </w:rPr>
              <w:t>erver:_________________________</w:t>
            </w:r>
            <w:r>
              <w:rPr>
                <w:b/>
                <w:szCs w:val="24"/>
              </w:rPr>
              <w:t>___Role:____________________________</w:t>
            </w:r>
            <w:r w:rsidR="00C55F54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>_</w:t>
            </w:r>
            <w:r w:rsidR="000413C0">
              <w:rPr>
                <w:b/>
                <w:szCs w:val="24"/>
              </w:rPr>
              <w:t>____</w:t>
            </w:r>
          </w:p>
        </w:tc>
      </w:tr>
    </w:tbl>
    <w:p w14:paraId="6FADC0A2" w14:textId="77777777" w:rsidR="0082772C" w:rsidRDefault="0082772C" w:rsidP="00B7029E">
      <w:pPr>
        <w:rPr>
          <w:rFonts w:cs="Times New Roman"/>
          <w:szCs w:val="2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7938"/>
        <w:gridCol w:w="1620"/>
      </w:tblGrid>
      <w:tr w:rsidR="000576AC" w:rsidRPr="0019417C" w14:paraId="60E6F059" w14:textId="77777777" w:rsidTr="005B2FE2">
        <w:trPr>
          <w:trHeight w:val="521"/>
          <w:tblHeader/>
        </w:trPr>
        <w:tc>
          <w:tcPr>
            <w:tcW w:w="7938" w:type="dxa"/>
            <w:tcBorders>
              <w:left w:val="nil"/>
            </w:tcBorders>
            <w:shd w:val="clear" w:color="auto" w:fill="F2F2F2" w:themeFill="background1" w:themeFillShade="F2"/>
          </w:tcPr>
          <w:p w14:paraId="77C401BB" w14:textId="77777777" w:rsidR="0082772C" w:rsidRPr="0019417C" w:rsidRDefault="004C3189" w:rsidP="002302D4">
            <w:pPr>
              <w:spacing w:before="120"/>
              <w:rPr>
                <w:b/>
              </w:rPr>
            </w:pPr>
            <w:r>
              <w:rPr>
                <w:b/>
              </w:rPr>
              <w:t>The professional d</w:t>
            </w:r>
            <w:r w:rsidR="0082772C">
              <w:rPr>
                <w:b/>
              </w:rPr>
              <w:t>evelopment provider: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5835EF1" w14:textId="77777777" w:rsidR="0082772C" w:rsidRDefault="0082772C" w:rsidP="002302D4">
            <w:pPr>
              <w:spacing w:before="60" w:line="276" w:lineRule="auto"/>
              <w:jc w:val="center"/>
              <w:rPr>
                <w:b/>
              </w:rPr>
            </w:pPr>
            <w:r w:rsidRPr="00154A98">
              <w:rPr>
                <w:b/>
              </w:rPr>
              <w:t>Observed?</w:t>
            </w:r>
          </w:p>
          <w:p w14:paraId="0BDE0EB5" w14:textId="77777777" w:rsidR="002302D4" w:rsidRPr="002302D4" w:rsidRDefault="002302D4" w:rsidP="002302D4">
            <w:pPr>
              <w:spacing w:before="60" w:line="276" w:lineRule="auto"/>
              <w:jc w:val="center"/>
              <w:rPr>
                <w:b/>
                <w:sz w:val="16"/>
                <w:szCs w:val="16"/>
              </w:rPr>
            </w:pPr>
            <w:r w:rsidRPr="002302D4">
              <w:rPr>
                <w:b/>
                <w:sz w:val="16"/>
                <w:szCs w:val="16"/>
              </w:rPr>
              <w:t>(Check if Yes)</w:t>
            </w:r>
          </w:p>
        </w:tc>
      </w:tr>
      <w:tr w:rsidR="00A0285F" w:rsidRPr="0019417C" w14:paraId="7B7886CF" w14:textId="77777777" w:rsidTr="005B2FE2">
        <w:trPr>
          <w:trHeight w:val="323"/>
        </w:trPr>
        <w:tc>
          <w:tcPr>
            <w:tcW w:w="9558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69F61D3" w14:textId="77777777" w:rsidR="00A0285F" w:rsidRPr="0019417C" w:rsidRDefault="00A0285F" w:rsidP="002302D4">
            <w:pPr>
              <w:spacing w:beforeLines="30" w:before="72" w:afterLines="30" w:after="72"/>
              <w:jc w:val="center"/>
              <w:rPr>
                <w:b/>
              </w:rPr>
            </w:pPr>
            <w:r w:rsidRPr="0019417C">
              <w:rPr>
                <w:b/>
              </w:rPr>
              <w:t>Preparation</w:t>
            </w:r>
          </w:p>
        </w:tc>
      </w:tr>
      <w:tr w:rsidR="008E5D5D" w:rsidRPr="0019417C" w14:paraId="0578E89D" w14:textId="77777777" w:rsidTr="005B2FE2">
        <w:trPr>
          <w:trHeight w:val="638"/>
        </w:trPr>
        <w:tc>
          <w:tcPr>
            <w:tcW w:w="7938" w:type="dxa"/>
            <w:tcBorders>
              <w:left w:val="nil"/>
              <w:bottom w:val="single" w:sz="4" w:space="0" w:color="548DD4" w:themeColor="text2" w:themeTint="99"/>
            </w:tcBorders>
            <w:shd w:val="clear" w:color="auto" w:fill="auto"/>
          </w:tcPr>
          <w:p w14:paraId="59D8A504" w14:textId="77777777" w:rsidR="008E5D5D" w:rsidRPr="0019417C" w:rsidRDefault="008E5D5D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270" w:hanging="2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Provides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a description of the training with learning objectives</w:t>
            </w:r>
            <w:r w:rsidR="00ED7D17">
              <w:rPr>
                <w:rFonts w:ascii="Times New Roman" w:hAnsi="Times New Roman" w:cs="Times New Roman"/>
                <w:sz w:val="24"/>
                <w:szCs w:val="24"/>
              </w:rPr>
              <w:t>/target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prior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auto"/>
          </w:tcPr>
          <w:p w14:paraId="673F60FE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b/>
              </w:rPr>
            </w:pPr>
          </w:p>
        </w:tc>
      </w:tr>
      <w:tr w:rsidR="00BC60C3" w:rsidRPr="0019417C" w14:paraId="7D780024" w14:textId="77777777" w:rsidTr="005B2FE2">
        <w:trPr>
          <w:trHeight w:val="476"/>
        </w:trPr>
        <w:tc>
          <w:tcPr>
            <w:tcW w:w="95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807793" w14:textId="77777777" w:rsidR="00403540" w:rsidRPr="00834B04" w:rsidRDefault="00403540" w:rsidP="00A164EF">
            <w:pPr>
              <w:spacing w:beforeLines="70" w:before="168" w:afterLines="70" w:after="168"/>
              <w:ind w:left="274"/>
              <w:rPr>
                <w:b/>
                <w:sz w:val="20"/>
                <w:szCs w:val="20"/>
              </w:rPr>
            </w:pPr>
            <w:r w:rsidRPr="00403540"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79E99CB7" w14:textId="77777777" w:rsidTr="005B2FE2">
        <w:tc>
          <w:tcPr>
            <w:tcW w:w="7938" w:type="dxa"/>
            <w:tcBorders>
              <w:top w:val="single" w:sz="4" w:space="0" w:color="F2F2F2" w:themeColor="background1" w:themeShade="F2"/>
              <w:left w:val="nil"/>
            </w:tcBorders>
            <w:shd w:val="clear" w:color="auto" w:fill="auto"/>
          </w:tcPr>
          <w:p w14:paraId="7FAA58B0" w14:textId="77777777" w:rsidR="008E5D5D" w:rsidRPr="0019417C" w:rsidRDefault="008E5D5D" w:rsidP="00E916FE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270" w:hanging="2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Provides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readings, activities,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and/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or questions to think about prior 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="00ED7D17">
              <w:rPr>
                <w:rFonts w:ascii="Times New Roman" w:hAnsi="Times New Roman" w:cs="Times New Roman"/>
                <w:sz w:val="24"/>
                <w:szCs w:val="24"/>
              </w:rPr>
              <w:t>; materials are in accessible formats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auto"/>
          </w:tcPr>
          <w:p w14:paraId="451962A1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b/>
              </w:rPr>
            </w:pPr>
          </w:p>
        </w:tc>
      </w:tr>
      <w:tr w:rsidR="00BC60C3" w:rsidRPr="0019417C" w14:paraId="0E365ABC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22E1DB5" w14:textId="77777777" w:rsidR="00403540" w:rsidRPr="00834B04" w:rsidRDefault="00403540" w:rsidP="00A164EF">
            <w:pPr>
              <w:spacing w:beforeLines="70" w:before="168" w:afterLines="70" w:after="168"/>
              <w:ind w:left="274"/>
              <w:rPr>
                <w:b/>
                <w:sz w:val="20"/>
                <w:szCs w:val="20"/>
              </w:rPr>
            </w:pPr>
            <w:r w:rsidRPr="00403540"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1BF5DCB3" w14:textId="77777777" w:rsidTr="005B2FE2">
        <w:tc>
          <w:tcPr>
            <w:tcW w:w="7938" w:type="dxa"/>
            <w:tcBorders>
              <w:left w:val="nil"/>
            </w:tcBorders>
            <w:shd w:val="clear" w:color="auto" w:fill="auto"/>
          </w:tcPr>
          <w:p w14:paraId="564397B1" w14:textId="77777777" w:rsidR="008E5D5D" w:rsidRPr="00403540" w:rsidRDefault="008E5D5D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270" w:hanging="27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Provides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agenda (i.e</w:t>
            </w:r>
            <w:r w:rsidR="00C07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schedule of topics to be presented and times) before or at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the beginning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auto"/>
          </w:tcPr>
          <w:p w14:paraId="7A1F4062" w14:textId="77777777" w:rsidR="008E5D5D" w:rsidRPr="00403540" w:rsidRDefault="008E5D5D" w:rsidP="00A164EF">
            <w:pPr>
              <w:spacing w:beforeLines="70" w:before="168" w:afterLines="70" w:after="168"/>
              <w:rPr>
                <w:b/>
                <w:sz w:val="20"/>
                <w:szCs w:val="20"/>
              </w:rPr>
            </w:pPr>
          </w:p>
        </w:tc>
      </w:tr>
      <w:tr w:rsidR="002302D4" w:rsidRPr="0019417C" w14:paraId="7487717E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220847C" w14:textId="77777777" w:rsidR="002302D4" w:rsidRPr="00403540" w:rsidRDefault="002302D4" w:rsidP="00A164EF">
            <w:pPr>
              <w:spacing w:beforeLines="70" w:before="168" w:afterLines="70" w:after="168"/>
              <w:ind w:left="270"/>
              <w:rPr>
                <w:b/>
                <w:sz w:val="20"/>
                <w:szCs w:val="20"/>
              </w:rPr>
            </w:pPr>
            <w:r w:rsidRPr="00C07D7E"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0A507973" w14:textId="77777777" w:rsidTr="005B2FE2">
        <w:tc>
          <w:tcPr>
            <w:tcW w:w="7938" w:type="dxa"/>
            <w:tcBorders>
              <w:left w:val="nil"/>
            </w:tcBorders>
            <w:shd w:val="clear" w:color="auto" w:fill="auto"/>
          </w:tcPr>
          <w:p w14:paraId="0B19F6EC" w14:textId="77777777" w:rsidR="008E5D5D" w:rsidRDefault="008E5D5D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Quickly establishes or builds on previously established rapport with participants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auto"/>
          </w:tcPr>
          <w:p w14:paraId="7E2270DB" w14:textId="77777777" w:rsidR="008E5D5D" w:rsidRPr="00403540" w:rsidRDefault="008E5D5D" w:rsidP="00A164EF">
            <w:pPr>
              <w:spacing w:beforeLines="70" w:before="168" w:afterLines="70" w:after="168"/>
              <w:rPr>
                <w:b/>
                <w:sz w:val="20"/>
                <w:szCs w:val="20"/>
              </w:rPr>
            </w:pPr>
          </w:p>
        </w:tc>
      </w:tr>
      <w:tr w:rsidR="00F13836" w:rsidRPr="0019417C" w14:paraId="2DCC7C1E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C4FD5DE" w14:textId="77777777" w:rsidR="00F13836" w:rsidRPr="00403540" w:rsidRDefault="00F13836" w:rsidP="00F13836">
            <w:pPr>
              <w:spacing w:beforeLines="70" w:before="168" w:afterLines="70" w:after="168"/>
              <w:ind w:left="270"/>
              <w:rPr>
                <w:b/>
                <w:sz w:val="20"/>
                <w:szCs w:val="20"/>
              </w:rPr>
            </w:pPr>
            <w:r w:rsidRPr="00C07D7E">
              <w:rPr>
                <w:b/>
                <w:sz w:val="20"/>
                <w:szCs w:val="20"/>
              </w:rPr>
              <w:t>Evidence or example:</w:t>
            </w:r>
          </w:p>
        </w:tc>
      </w:tr>
      <w:tr w:rsidR="00A0285F" w:rsidRPr="0019417C" w14:paraId="726651F0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8C255E8" w14:textId="77777777" w:rsidR="00A0285F" w:rsidRPr="0019417C" w:rsidRDefault="00A0285F" w:rsidP="002302D4">
            <w:pPr>
              <w:spacing w:beforeLines="30" w:before="72" w:afterLines="30" w:after="72"/>
              <w:jc w:val="center"/>
              <w:rPr>
                <w:b/>
              </w:rPr>
            </w:pPr>
            <w:r w:rsidRPr="0019417C">
              <w:rPr>
                <w:b/>
              </w:rPr>
              <w:lastRenderedPageBreak/>
              <w:t>Introduction</w:t>
            </w:r>
          </w:p>
        </w:tc>
      </w:tr>
      <w:tr w:rsidR="008E5D5D" w:rsidRPr="00E1379B" w14:paraId="1B4CE4D0" w14:textId="77777777" w:rsidTr="005B2FE2">
        <w:tc>
          <w:tcPr>
            <w:tcW w:w="7938" w:type="dxa"/>
            <w:tcBorders>
              <w:left w:val="nil"/>
            </w:tcBorders>
          </w:tcPr>
          <w:p w14:paraId="5A6247EA" w14:textId="77777777" w:rsidR="008E5D5D" w:rsidRPr="00E1379B" w:rsidRDefault="008E5D5D" w:rsidP="00ED7D17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270" w:hanging="270"/>
              <w:rPr>
                <w:rFonts w:ascii="Times New Roman" w:hAnsi="Times New Roman"/>
                <w:b/>
                <w:sz w:val="20"/>
                <w:szCs w:val="20"/>
              </w:rPr>
            </w:pPr>
            <w:r w:rsidRPr="00834B04">
              <w:rPr>
                <w:rFonts w:ascii="Times New Roman" w:hAnsi="Times New Roman" w:cs="Times New Roman"/>
                <w:sz w:val="24"/>
                <w:szCs w:val="24"/>
              </w:rPr>
              <w:t xml:space="preserve">Connects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topic</w:t>
            </w:r>
            <w:r w:rsidRPr="00834B04">
              <w:rPr>
                <w:rFonts w:ascii="Times New Roman" w:hAnsi="Times New Roman" w:cs="Times New Roman"/>
                <w:sz w:val="24"/>
                <w:szCs w:val="24"/>
              </w:rPr>
              <w:t xml:space="preserve"> to participants’ context (e.g., community, school</w:t>
            </w:r>
            <w:r w:rsidR="00ED7D17">
              <w:rPr>
                <w:rFonts w:ascii="Times New Roman" w:hAnsi="Times New Roman" w:cs="Times New Roman"/>
                <w:sz w:val="24"/>
                <w:szCs w:val="24"/>
              </w:rPr>
              <w:t>, role</w:t>
            </w:r>
            <w:r w:rsidRPr="00834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right w:val="nil"/>
            </w:tcBorders>
          </w:tcPr>
          <w:p w14:paraId="076DD339" w14:textId="77777777" w:rsidR="008E5D5D" w:rsidRPr="00E1379B" w:rsidRDefault="008E5D5D" w:rsidP="00A164EF">
            <w:pPr>
              <w:spacing w:beforeLines="70" w:before="168" w:afterLines="70" w:after="168"/>
              <w:ind w:left="274"/>
              <w:rPr>
                <w:b/>
                <w:sz w:val="20"/>
                <w:szCs w:val="20"/>
              </w:rPr>
            </w:pPr>
          </w:p>
        </w:tc>
      </w:tr>
      <w:tr w:rsidR="00BC60C3" w:rsidRPr="0019417C" w14:paraId="4C192053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6FF2AE64" w14:textId="77777777" w:rsidR="00403540" w:rsidRPr="00834B04" w:rsidRDefault="00403540" w:rsidP="00A164EF">
            <w:pPr>
              <w:spacing w:beforeLines="70" w:before="168" w:afterLines="70" w:after="168"/>
              <w:ind w:left="274"/>
              <w:rPr>
                <w:b/>
                <w:sz w:val="20"/>
                <w:szCs w:val="20"/>
              </w:rPr>
            </w:pPr>
            <w:r w:rsidRPr="00403540"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66CD5722" w14:textId="77777777" w:rsidTr="005B2FE2">
        <w:tc>
          <w:tcPr>
            <w:tcW w:w="7938" w:type="dxa"/>
            <w:tcBorders>
              <w:left w:val="nil"/>
            </w:tcBorders>
          </w:tcPr>
          <w:p w14:paraId="7AF9DC80" w14:textId="77777777" w:rsidR="008E5D5D" w:rsidRPr="0019417C" w:rsidRDefault="008E5D5D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Includes the empirical research foundation of the content (e.g., citations, verbal references to research literature, key researchers)</w:t>
            </w:r>
          </w:p>
        </w:tc>
        <w:tc>
          <w:tcPr>
            <w:tcW w:w="1620" w:type="dxa"/>
            <w:tcBorders>
              <w:right w:val="nil"/>
            </w:tcBorders>
          </w:tcPr>
          <w:p w14:paraId="5E8D1E39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55B6EE6D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6E9498CD" w14:textId="77777777" w:rsidR="00403540" w:rsidRPr="00834B04" w:rsidRDefault="00834B04" w:rsidP="00A164EF">
            <w:pPr>
              <w:spacing w:beforeLines="70" w:before="168" w:afterLines="70" w:after="168"/>
              <w:ind w:left="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74B31AC9" w14:textId="77777777" w:rsidTr="005B2FE2">
        <w:tc>
          <w:tcPr>
            <w:tcW w:w="7938" w:type="dxa"/>
            <w:tcBorders>
              <w:left w:val="nil"/>
            </w:tcBorders>
          </w:tcPr>
          <w:p w14:paraId="65E5B279" w14:textId="77777777" w:rsidR="008E5D5D" w:rsidRPr="0019417C" w:rsidRDefault="008E5D5D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b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uilds on or relates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participants’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previous professional development </w:t>
            </w:r>
          </w:p>
        </w:tc>
        <w:tc>
          <w:tcPr>
            <w:tcW w:w="1620" w:type="dxa"/>
            <w:tcBorders>
              <w:right w:val="nil"/>
            </w:tcBorders>
          </w:tcPr>
          <w:p w14:paraId="37FCB4DC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1DB2D17E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16177A12" w14:textId="77777777" w:rsidR="00403540" w:rsidRPr="00834B04" w:rsidRDefault="00834B04" w:rsidP="00A164EF">
            <w:pPr>
              <w:spacing w:beforeLines="70" w:before="168" w:afterLines="70" w:after="168"/>
              <w:ind w:left="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471478B2" w14:textId="77777777" w:rsidTr="005B2FE2">
        <w:tc>
          <w:tcPr>
            <w:tcW w:w="7938" w:type="dxa"/>
            <w:tcBorders>
              <w:left w:val="nil"/>
            </w:tcBorders>
          </w:tcPr>
          <w:p w14:paraId="701B9727" w14:textId="77777777" w:rsidR="008E5D5D" w:rsidRPr="0019417C" w:rsidRDefault="008E5D5D" w:rsidP="00ED7D17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Aligns with standards or goals</w:t>
            </w:r>
            <w:r w:rsidR="00ED7D17">
              <w:rPr>
                <w:rFonts w:ascii="Times New Roman" w:hAnsi="Times New Roman" w:cs="Times New Roman"/>
                <w:sz w:val="24"/>
                <w:szCs w:val="24"/>
              </w:rPr>
              <w:t xml:space="preserve"> valued by the participants (e.g., laws, professional organization standards, local policies) </w:t>
            </w:r>
          </w:p>
        </w:tc>
        <w:tc>
          <w:tcPr>
            <w:tcW w:w="1620" w:type="dxa"/>
            <w:tcBorders>
              <w:right w:val="nil"/>
            </w:tcBorders>
          </w:tcPr>
          <w:p w14:paraId="6D829ED6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47C566A9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77670F5D" w14:textId="77777777" w:rsidR="00403540" w:rsidRPr="00834B04" w:rsidRDefault="00403540" w:rsidP="00101247">
            <w:pPr>
              <w:spacing w:beforeLines="50" w:before="120" w:afterLines="50" w:after="120"/>
              <w:ind w:left="274"/>
              <w:rPr>
                <w:b/>
                <w:sz w:val="20"/>
                <w:szCs w:val="20"/>
              </w:rPr>
            </w:pPr>
            <w:r w:rsidRPr="00403540"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06802CA1" w14:textId="77777777" w:rsidTr="005B2FE2">
        <w:tc>
          <w:tcPr>
            <w:tcW w:w="7938" w:type="dxa"/>
            <w:tcBorders>
              <w:left w:val="nil"/>
            </w:tcBorders>
          </w:tcPr>
          <w:p w14:paraId="7B002F3E" w14:textId="77777777" w:rsidR="008E5D5D" w:rsidRPr="0019417C" w:rsidRDefault="008E5D5D" w:rsidP="00ED7D17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Emphasizes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impact of content on</w:t>
            </w:r>
            <w:r w:rsidR="00ED7D17">
              <w:rPr>
                <w:rFonts w:ascii="Times New Roman" w:hAnsi="Times New Roman" w:cs="Times New Roman"/>
                <w:sz w:val="24"/>
                <w:szCs w:val="24"/>
              </w:rPr>
              <w:t xml:space="preserve"> beneficiaries’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outcomes</w:t>
            </w:r>
            <w:r w:rsidR="00ED7D17">
              <w:rPr>
                <w:rFonts w:ascii="Times New Roman" w:hAnsi="Times New Roman" w:cs="Times New Roman"/>
                <w:sz w:val="24"/>
                <w:szCs w:val="24"/>
              </w:rPr>
              <w:t xml:space="preserve"> (e.g., clients, patients, students, families)</w:t>
            </w:r>
          </w:p>
        </w:tc>
        <w:tc>
          <w:tcPr>
            <w:tcW w:w="1620" w:type="dxa"/>
            <w:tcBorders>
              <w:right w:val="nil"/>
            </w:tcBorders>
          </w:tcPr>
          <w:p w14:paraId="51215329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00E0076E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7E3CE311" w14:textId="77777777" w:rsidR="00403540" w:rsidRPr="00834B04" w:rsidRDefault="00403540" w:rsidP="00101247">
            <w:pPr>
              <w:spacing w:beforeLines="50" w:before="120" w:afterLines="50" w:after="120"/>
              <w:ind w:left="274"/>
              <w:rPr>
                <w:b/>
                <w:sz w:val="20"/>
                <w:szCs w:val="20"/>
              </w:rPr>
            </w:pPr>
            <w:r w:rsidRPr="00403540">
              <w:rPr>
                <w:b/>
                <w:sz w:val="20"/>
                <w:szCs w:val="20"/>
              </w:rPr>
              <w:t>Evidence or example:</w:t>
            </w:r>
          </w:p>
        </w:tc>
      </w:tr>
      <w:tr w:rsidR="00A0285F" w:rsidRPr="0019417C" w14:paraId="15720701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D89AB01" w14:textId="77777777" w:rsidR="00A0285F" w:rsidRPr="0019417C" w:rsidRDefault="00A0285F" w:rsidP="002302D4">
            <w:pPr>
              <w:spacing w:beforeLines="30" w:before="72" w:afterLines="30" w:after="72"/>
              <w:jc w:val="center"/>
              <w:rPr>
                <w:b/>
              </w:rPr>
            </w:pPr>
            <w:r w:rsidRPr="0019417C">
              <w:rPr>
                <w:b/>
              </w:rPr>
              <w:t>Demonstration</w:t>
            </w:r>
          </w:p>
        </w:tc>
      </w:tr>
      <w:tr w:rsidR="008E5D5D" w:rsidRPr="0019417C" w14:paraId="0793C44E" w14:textId="77777777" w:rsidTr="005B2FE2">
        <w:tc>
          <w:tcPr>
            <w:tcW w:w="7938" w:type="dxa"/>
            <w:tcBorders>
              <w:left w:val="nil"/>
            </w:tcBorders>
          </w:tcPr>
          <w:p w14:paraId="528374D6" w14:textId="77777777" w:rsidR="008E5D5D" w:rsidRPr="0019417C" w:rsidRDefault="008E5D5D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Builds shared vocabulary required to implement and sustain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practice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14:paraId="1826122B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598C8B8F" w14:textId="77777777" w:rsidTr="00101247">
        <w:trPr>
          <w:trHeight w:val="467"/>
        </w:trPr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4ADE9F28" w14:textId="77777777" w:rsidR="00403540" w:rsidRPr="00834B04" w:rsidRDefault="00403540" w:rsidP="00101247">
            <w:pPr>
              <w:spacing w:beforeLines="50" w:before="120" w:afterLines="50" w:after="120"/>
              <w:ind w:left="360"/>
              <w:rPr>
                <w:b/>
                <w:sz w:val="20"/>
                <w:szCs w:val="20"/>
              </w:rPr>
            </w:pPr>
            <w:r w:rsidRPr="00403540">
              <w:rPr>
                <w:b/>
                <w:sz w:val="20"/>
                <w:szCs w:val="20"/>
              </w:rPr>
              <w:t>Evidence or e</w:t>
            </w:r>
            <w:r w:rsidR="00834B04">
              <w:rPr>
                <w:b/>
                <w:sz w:val="20"/>
                <w:szCs w:val="20"/>
              </w:rPr>
              <w:t>xample:</w:t>
            </w:r>
          </w:p>
        </w:tc>
      </w:tr>
      <w:tr w:rsidR="008E5D5D" w:rsidRPr="0019417C" w14:paraId="3AB561D3" w14:textId="77777777" w:rsidTr="005B2FE2">
        <w:tc>
          <w:tcPr>
            <w:tcW w:w="7938" w:type="dxa"/>
            <w:tcBorders>
              <w:left w:val="nil"/>
            </w:tcBorders>
          </w:tcPr>
          <w:p w14:paraId="7FD2D878" w14:textId="77777777" w:rsidR="008E5D5D" w:rsidRPr="0019417C" w:rsidRDefault="008E5D5D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Provides examples of 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>the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/practice in use (e.g., case study, vi</w:t>
            </w:r>
            <w:r w:rsidR="003E09C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nette) </w:t>
            </w:r>
          </w:p>
        </w:tc>
        <w:tc>
          <w:tcPr>
            <w:tcW w:w="1620" w:type="dxa"/>
            <w:tcBorders>
              <w:right w:val="nil"/>
            </w:tcBorders>
          </w:tcPr>
          <w:p w14:paraId="56C76688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70773E79" w14:textId="77777777" w:rsidTr="00101247">
        <w:trPr>
          <w:trHeight w:val="350"/>
        </w:trPr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5B769D23" w14:textId="77777777" w:rsidR="00403540" w:rsidRPr="00834B04" w:rsidRDefault="00403540" w:rsidP="00101247">
            <w:pPr>
              <w:spacing w:beforeLines="50" w:before="120" w:afterLines="50" w:after="120"/>
              <w:ind w:left="360"/>
              <w:rPr>
                <w:b/>
                <w:sz w:val="20"/>
                <w:szCs w:val="20"/>
              </w:rPr>
            </w:pPr>
            <w:r w:rsidRPr="00403540"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63D2C1A4" w14:textId="77777777" w:rsidTr="005B2FE2">
        <w:tc>
          <w:tcPr>
            <w:tcW w:w="7938" w:type="dxa"/>
            <w:tcBorders>
              <w:left w:val="nil"/>
            </w:tcBorders>
          </w:tcPr>
          <w:p w14:paraId="29A4A457" w14:textId="77777777" w:rsidR="008E5D5D" w:rsidRPr="0019417C" w:rsidRDefault="008E5D5D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>Illustrates the applicability of the material, knowledge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or practice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participants’ context</w:t>
            </w:r>
          </w:p>
        </w:tc>
        <w:tc>
          <w:tcPr>
            <w:tcW w:w="1620" w:type="dxa"/>
            <w:tcBorders>
              <w:right w:val="nil"/>
            </w:tcBorders>
          </w:tcPr>
          <w:p w14:paraId="2C41652A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7EFF2F59" w14:textId="77777777" w:rsidTr="00101247">
        <w:trPr>
          <w:trHeight w:val="413"/>
        </w:trPr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275B9210" w14:textId="77777777" w:rsidR="00101247" w:rsidRPr="00834B04" w:rsidRDefault="00403540" w:rsidP="00101247">
            <w:pPr>
              <w:spacing w:beforeLines="50" w:before="120" w:afterLines="50" w:after="120"/>
              <w:ind w:left="360"/>
              <w:rPr>
                <w:b/>
                <w:sz w:val="20"/>
                <w:szCs w:val="20"/>
              </w:rPr>
            </w:pPr>
            <w:r w:rsidRPr="00403540">
              <w:rPr>
                <w:b/>
                <w:sz w:val="20"/>
                <w:szCs w:val="20"/>
              </w:rPr>
              <w:t>Evidence or example:</w:t>
            </w:r>
          </w:p>
        </w:tc>
      </w:tr>
      <w:tr w:rsidR="00A0285F" w:rsidRPr="0019417C" w14:paraId="09B37C73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EC86ABC" w14:textId="77777777" w:rsidR="00A0285F" w:rsidRPr="0019417C" w:rsidRDefault="00A0285F" w:rsidP="002302D4">
            <w:pPr>
              <w:spacing w:beforeLines="30" w:before="72" w:afterLines="30" w:after="72"/>
              <w:jc w:val="center"/>
              <w:rPr>
                <w:b/>
              </w:rPr>
            </w:pPr>
            <w:r w:rsidRPr="0019417C">
              <w:rPr>
                <w:b/>
              </w:rPr>
              <w:t>Engagement</w:t>
            </w:r>
          </w:p>
        </w:tc>
      </w:tr>
      <w:tr w:rsidR="008E5D5D" w:rsidRPr="0019417C" w14:paraId="1F625CA8" w14:textId="77777777" w:rsidTr="005B2FE2">
        <w:tc>
          <w:tcPr>
            <w:tcW w:w="7938" w:type="dxa"/>
            <w:tcBorders>
              <w:left w:val="nil"/>
            </w:tcBorders>
          </w:tcPr>
          <w:p w14:paraId="45BA0C90" w14:textId="77777777" w:rsidR="008E5D5D" w:rsidRPr="0019417C" w:rsidRDefault="008E5D5D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Includes opportunities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participants 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>to practice and/or rehearse new skills</w:t>
            </w:r>
          </w:p>
        </w:tc>
        <w:tc>
          <w:tcPr>
            <w:tcW w:w="1620" w:type="dxa"/>
            <w:tcBorders>
              <w:right w:val="nil"/>
            </w:tcBorders>
          </w:tcPr>
          <w:p w14:paraId="0D80C06A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7D03EC00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1B894AB6" w14:textId="77777777" w:rsidR="00403540" w:rsidRPr="00834B04" w:rsidRDefault="00834B04" w:rsidP="00A164EF">
            <w:pPr>
              <w:spacing w:beforeLines="70" w:before="168" w:afterLines="70" w:after="168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3B62C1D9" w14:textId="77777777" w:rsidTr="005B2FE2">
        <w:tc>
          <w:tcPr>
            <w:tcW w:w="7938" w:type="dxa"/>
            <w:tcBorders>
              <w:left w:val="nil"/>
            </w:tcBorders>
          </w:tcPr>
          <w:p w14:paraId="1A81AB92" w14:textId="77777777" w:rsidR="008E5D5D" w:rsidRPr="0019417C" w:rsidRDefault="008E5D5D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Includes opportunities</w:t>
            </w:r>
            <w:r w:rsidRPr="00261366">
              <w:rPr>
                <w:rFonts w:ascii="Times New Roman" w:hAnsi="Times New Roman" w:cs="Times New Roman"/>
                <w:sz w:val="24"/>
                <w:szCs w:val="24"/>
              </w:rPr>
              <w:t xml:space="preserve"> for participants to express personal perspectives (e.g., experience</w:t>
            </w:r>
            <w:r w:rsidR="002302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61366">
              <w:rPr>
                <w:rFonts w:ascii="Times New Roman" w:hAnsi="Times New Roman" w:cs="Times New Roman"/>
                <w:sz w:val="24"/>
                <w:szCs w:val="24"/>
              </w:rPr>
              <w:t>, thoughts on concept)</w:t>
            </w:r>
          </w:p>
        </w:tc>
        <w:tc>
          <w:tcPr>
            <w:tcW w:w="1620" w:type="dxa"/>
            <w:tcBorders>
              <w:right w:val="nil"/>
            </w:tcBorders>
          </w:tcPr>
          <w:p w14:paraId="7B9FC558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3B496D70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56B3657E" w14:textId="77777777" w:rsidR="00403540" w:rsidRPr="00834B04" w:rsidRDefault="00834B04" w:rsidP="00A164EF">
            <w:pPr>
              <w:spacing w:beforeLines="70" w:before="168" w:afterLines="70" w:after="168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612574E5" w14:textId="77777777" w:rsidTr="005B2FE2">
        <w:tc>
          <w:tcPr>
            <w:tcW w:w="7938" w:type="dxa"/>
            <w:tcBorders>
              <w:left w:val="nil"/>
            </w:tcBorders>
          </w:tcPr>
          <w:p w14:paraId="0AF8334A" w14:textId="77777777" w:rsidR="008E5D5D" w:rsidRPr="0019417C" w:rsidRDefault="007C5DC7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Facilitates </w:t>
            </w:r>
            <w:r w:rsidR="008E5D5D">
              <w:rPr>
                <w:rFonts w:ascii="Times New Roman" w:hAnsi="Times New Roman" w:cs="Times New Roman"/>
                <w:sz w:val="24"/>
                <w:szCs w:val="24"/>
              </w:rPr>
              <w:t>opportunities for participants to interact with each other related to training content</w:t>
            </w:r>
          </w:p>
        </w:tc>
        <w:tc>
          <w:tcPr>
            <w:tcW w:w="1620" w:type="dxa"/>
            <w:tcBorders>
              <w:right w:val="nil"/>
            </w:tcBorders>
          </w:tcPr>
          <w:p w14:paraId="6ED449F0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78368E31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75026701" w14:textId="77777777" w:rsidR="00403540" w:rsidRPr="00834B04" w:rsidRDefault="00403540" w:rsidP="00A164EF">
            <w:pPr>
              <w:spacing w:beforeLines="70" w:before="168" w:afterLines="70" w:after="168"/>
              <w:ind w:left="360"/>
              <w:rPr>
                <w:b/>
                <w:sz w:val="20"/>
                <w:szCs w:val="20"/>
              </w:rPr>
            </w:pPr>
            <w:r w:rsidRPr="00403540"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5F9FF5F5" w14:textId="77777777" w:rsidTr="005B2FE2">
        <w:tc>
          <w:tcPr>
            <w:tcW w:w="7938" w:type="dxa"/>
            <w:tcBorders>
              <w:left w:val="nil"/>
            </w:tcBorders>
          </w:tcPr>
          <w:p w14:paraId="5FF9DF51" w14:textId="77777777" w:rsidR="008E5D5D" w:rsidRPr="0019417C" w:rsidRDefault="008E5D5D" w:rsidP="00A164EF">
            <w:pPr>
              <w:pStyle w:val="ListParagraph"/>
              <w:numPr>
                <w:ilvl w:val="0"/>
                <w:numId w:val="4"/>
              </w:numPr>
              <w:spacing w:beforeLines="70" w:before="168" w:afterLines="70" w:after="16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Adheres to agenda and time constraints </w:t>
            </w:r>
          </w:p>
        </w:tc>
        <w:tc>
          <w:tcPr>
            <w:tcW w:w="1620" w:type="dxa"/>
            <w:tcBorders>
              <w:right w:val="nil"/>
            </w:tcBorders>
          </w:tcPr>
          <w:p w14:paraId="0FF90776" w14:textId="77777777" w:rsidR="008E5D5D" w:rsidRPr="0019417C" w:rsidRDefault="008E5D5D" w:rsidP="00A164EF">
            <w:pPr>
              <w:spacing w:beforeLines="70" w:before="168" w:afterLines="70" w:after="168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52E97065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16ABABC5" w14:textId="77777777" w:rsidR="00403540" w:rsidRPr="00834B04" w:rsidRDefault="00834B04" w:rsidP="00A164EF">
            <w:pPr>
              <w:spacing w:beforeLines="70" w:before="168" w:afterLines="70" w:after="168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or example:</w:t>
            </w:r>
          </w:p>
        </w:tc>
      </w:tr>
      <w:tr w:rsidR="00A0285F" w:rsidRPr="0019417C" w14:paraId="1BA43AFB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089A5A3" w14:textId="77777777" w:rsidR="00A0285F" w:rsidRPr="0019417C" w:rsidRDefault="00A0285F" w:rsidP="002302D4">
            <w:pPr>
              <w:spacing w:beforeLines="30" w:before="72" w:afterLines="30" w:after="72"/>
              <w:jc w:val="center"/>
              <w:rPr>
                <w:b/>
              </w:rPr>
            </w:pPr>
            <w:r w:rsidRPr="0019417C">
              <w:rPr>
                <w:b/>
              </w:rPr>
              <w:t>Evaluation</w:t>
            </w:r>
            <w:r w:rsidR="0046410A">
              <w:rPr>
                <w:b/>
              </w:rPr>
              <w:t>/Reflection</w:t>
            </w:r>
          </w:p>
        </w:tc>
      </w:tr>
      <w:tr w:rsidR="008E5D5D" w:rsidRPr="0019417C" w14:paraId="08577BC9" w14:textId="77777777" w:rsidTr="005B2FE2">
        <w:tc>
          <w:tcPr>
            <w:tcW w:w="7938" w:type="dxa"/>
            <w:tcBorders>
              <w:left w:val="nil"/>
            </w:tcBorders>
          </w:tcPr>
          <w:p w14:paraId="06775DB8" w14:textId="77777777" w:rsidR="008E5D5D" w:rsidRPr="0019417C" w:rsidRDefault="008E5D5D" w:rsidP="00DF6FE0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Includes opportunities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to reflect on learning</w:t>
            </w:r>
          </w:p>
        </w:tc>
        <w:tc>
          <w:tcPr>
            <w:tcW w:w="1620" w:type="dxa"/>
            <w:tcBorders>
              <w:right w:val="nil"/>
            </w:tcBorders>
          </w:tcPr>
          <w:p w14:paraId="2C53079A" w14:textId="77777777" w:rsidR="008E5D5D" w:rsidRPr="0019417C" w:rsidRDefault="008E5D5D" w:rsidP="00DF6FE0">
            <w:pPr>
              <w:spacing w:beforeLines="60" w:before="144" w:afterLines="60" w:after="144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3CA65351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1F348385" w14:textId="77777777" w:rsidR="00403540" w:rsidRPr="00834B04" w:rsidRDefault="00403540" w:rsidP="00DF6FE0">
            <w:pPr>
              <w:spacing w:beforeLines="60" w:before="144" w:afterLines="60" w:after="144"/>
              <w:ind w:left="360"/>
              <w:rPr>
                <w:b/>
                <w:sz w:val="20"/>
                <w:szCs w:val="20"/>
              </w:rPr>
            </w:pPr>
            <w:r w:rsidRPr="00403540">
              <w:rPr>
                <w:b/>
                <w:sz w:val="20"/>
                <w:szCs w:val="20"/>
              </w:rPr>
              <w:t>Evid</w:t>
            </w:r>
            <w:r w:rsidR="00834B04">
              <w:rPr>
                <w:b/>
                <w:sz w:val="20"/>
                <w:szCs w:val="20"/>
              </w:rPr>
              <w:t>ence or example:</w:t>
            </w:r>
          </w:p>
        </w:tc>
      </w:tr>
      <w:tr w:rsidR="008E5D5D" w:rsidRPr="0019417C" w14:paraId="44A2D758" w14:textId="77777777" w:rsidTr="005B2FE2">
        <w:tc>
          <w:tcPr>
            <w:tcW w:w="7938" w:type="dxa"/>
            <w:tcBorders>
              <w:left w:val="nil"/>
            </w:tcBorders>
          </w:tcPr>
          <w:p w14:paraId="53D727A3" w14:textId="77777777" w:rsidR="008E5D5D" w:rsidRPr="0019417C" w:rsidRDefault="008E5D5D" w:rsidP="000413C0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Includes specific indicators—related to the knowledge, material, or skills provided by the training—that would indicate a successful transfer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</w:tc>
        <w:tc>
          <w:tcPr>
            <w:tcW w:w="1620" w:type="dxa"/>
            <w:tcBorders>
              <w:right w:val="nil"/>
            </w:tcBorders>
          </w:tcPr>
          <w:p w14:paraId="0018708F" w14:textId="77777777" w:rsidR="008E5D5D" w:rsidRPr="0019417C" w:rsidRDefault="008E5D5D" w:rsidP="00DF6FE0">
            <w:pPr>
              <w:spacing w:beforeLines="60" w:before="144" w:afterLines="60" w:after="144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57562F74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362C2A0E" w14:textId="77777777" w:rsidR="00403540" w:rsidRPr="00834B04" w:rsidRDefault="00834B04" w:rsidP="00DF6FE0">
            <w:pPr>
              <w:spacing w:beforeLines="60" w:before="144" w:afterLines="60" w:after="144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2EC98D6E" w14:textId="77777777" w:rsidTr="005B2FE2">
        <w:tc>
          <w:tcPr>
            <w:tcW w:w="7938" w:type="dxa"/>
            <w:tcBorders>
              <w:left w:val="nil"/>
            </w:tcBorders>
            <w:shd w:val="clear" w:color="auto" w:fill="auto"/>
          </w:tcPr>
          <w:p w14:paraId="20676336" w14:textId="77777777" w:rsidR="008E5D5D" w:rsidRPr="008D2E8D" w:rsidRDefault="008E5D5D" w:rsidP="00DF6FE0">
            <w:pPr>
              <w:pStyle w:val="ListParagraph"/>
              <w:keepNext/>
              <w:numPr>
                <w:ilvl w:val="0"/>
                <w:numId w:val="4"/>
              </w:numPr>
              <w:spacing w:beforeLines="60" w:before="144" w:afterLines="60" w:after="14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Engages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their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acquisition of knowledge and skills </w:t>
            </w:r>
          </w:p>
        </w:tc>
        <w:tc>
          <w:tcPr>
            <w:tcW w:w="1620" w:type="dxa"/>
            <w:tcBorders>
              <w:right w:val="nil"/>
            </w:tcBorders>
          </w:tcPr>
          <w:p w14:paraId="3955E1F0" w14:textId="77777777" w:rsidR="008E5D5D" w:rsidRPr="0019417C" w:rsidRDefault="008E5D5D" w:rsidP="00DF6FE0">
            <w:pPr>
              <w:spacing w:beforeLines="60" w:before="144" w:afterLines="60" w:after="144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07F5EC40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5437541" w14:textId="77777777" w:rsidR="00403540" w:rsidRPr="00834B04" w:rsidRDefault="00834B04" w:rsidP="00DF6FE0">
            <w:pPr>
              <w:spacing w:beforeLines="60" w:before="144" w:afterLines="60" w:after="144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or example:</w:t>
            </w:r>
          </w:p>
        </w:tc>
      </w:tr>
      <w:tr w:rsidR="00A0285F" w:rsidRPr="0019417C" w14:paraId="225F5876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074F81E" w14:textId="77777777" w:rsidR="00A0285F" w:rsidRPr="0019417C" w:rsidRDefault="00A0285F" w:rsidP="002302D4">
            <w:pPr>
              <w:spacing w:beforeLines="30" w:before="72" w:afterLines="30" w:after="72"/>
              <w:jc w:val="center"/>
              <w:rPr>
                <w:b/>
              </w:rPr>
            </w:pPr>
            <w:r w:rsidRPr="0019417C">
              <w:rPr>
                <w:b/>
              </w:rPr>
              <w:t>Mastery</w:t>
            </w:r>
          </w:p>
        </w:tc>
      </w:tr>
      <w:tr w:rsidR="008E5D5D" w:rsidRPr="0019417C" w:rsidDel="00FD786A" w14:paraId="2F08D1C8" w14:textId="77777777" w:rsidTr="005B2FE2">
        <w:tc>
          <w:tcPr>
            <w:tcW w:w="7938" w:type="dxa"/>
            <w:tcBorders>
              <w:left w:val="nil"/>
            </w:tcBorders>
          </w:tcPr>
          <w:p w14:paraId="3ED17E3C" w14:textId="77777777" w:rsidR="008E5D5D" w:rsidRPr="0019417C" w:rsidDel="00FD786A" w:rsidRDefault="008E5D5D" w:rsidP="00A164EF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follow-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up activities that </w:t>
            </w:r>
            <w:r w:rsidRPr="00041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require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 to apply their learning in a new setting or context</w:t>
            </w:r>
          </w:p>
        </w:tc>
        <w:tc>
          <w:tcPr>
            <w:tcW w:w="1620" w:type="dxa"/>
            <w:tcBorders>
              <w:right w:val="nil"/>
            </w:tcBorders>
          </w:tcPr>
          <w:p w14:paraId="05E4A133" w14:textId="77777777" w:rsidR="008E5D5D" w:rsidRPr="0019417C" w:rsidDel="00FD786A" w:rsidRDefault="008E5D5D" w:rsidP="00A164EF">
            <w:pPr>
              <w:spacing w:beforeLines="60" w:before="144" w:afterLines="60" w:after="144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:rsidDel="00FD786A" w14:paraId="33F0BE5D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0064BE9A" w14:textId="77777777" w:rsidR="00403540" w:rsidRPr="00834B04" w:rsidDel="00FD786A" w:rsidRDefault="00403540" w:rsidP="00A164EF">
            <w:pPr>
              <w:spacing w:beforeLines="60" w:before="144" w:afterLines="60" w:after="144"/>
              <w:ind w:left="360"/>
              <w:rPr>
                <w:b/>
                <w:sz w:val="20"/>
                <w:szCs w:val="20"/>
              </w:rPr>
            </w:pPr>
            <w:r w:rsidRPr="00403540"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459E8D1F" w14:textId="77777777" w:rsidTr="005B2FE2">
        <w:tc>
          <w:tcPr>
            <w:tcW w:w="7938" w:type="dxa"/>
            <w:tcBorders>
              <w:left w:val="nil"/>
            </w:tcBorders>
          </w:tcPr>
          <w:p w14:paraId="35C3B3E7" w14:textId="77777777" w:rsidR="008E5D5D" w:rsidRPr="00C41324" w:rsidRDefault="008E5D5D" w:rsidP="00A164EF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4">
              <w:rPr>
                <w:rFonts w:ascii="Times New Roman" w:hAnsi="Times New Roman" w:cs="Times New Roman"/>
                <w:sz w:val="24"/>
                <w:szCs w:val="24"/>
              </w:rPr>
              <w:t xml:space="preserve">Offers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opportunities for </w:t>
            </w:r>
            <w:r w:rsidRPr="00C41324">
              <w:rPr>
                <w:rFonts w:ascii="Times New Roman" w:hAnsi="Times New Roman" w:cs="Times New Roman"/>
                <w:sz w:val="24"/>
                <w:szCs w:val="24"/>
              </w:rPr>
              <w:t xml:space="preserve">continued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Pr="00C41324">
              <w:rPr>
                <w:rFonts w:ascii="Times New Roman" w:hAnsi="Times New Roman" w:cs="Times New Roman"/>
                <w:sz w:val="24"/>
                <w:szCs w:val="24"/>
              </w:rPr>
              <w:t xml:space="preserve"> through technical assistance and resources </w:t>
            </w:r>
          </w:p>
        </w:tc>
        <w:tc>
          <w:tcPr>
            <w:tcW w:w="1620" w:type="dxa"/>
            <w:tcBorders>
              <w:right w:val="nil"/>
            </w:tcBorders>
          </w:tcPr>
          <w:p w14:paraId="2FD97D09" w14:textId="77777777" w:rsidR="008E5D5D" w:rsidRPr="0019417C" w:rsidRDefault="008E5D5D" w:rsidP="00A164EF">
            <w:pPr>
              <w:spacing w:beforeLines="60" w:before="144" w:afterLines="60" w:after="144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767F10B9" w14:textId="77777777" w:rsidTr="005B2FE2">
        <w:tc>
          <w:tcPr>
            <w:tcW w:w="9558" w:type="dxa"/>
            <w:gridSpan w:val="2"/>
            <w:tcBorders>
              <w:left w:val="nil"/>
              <w:right w:val="nil"/>
            </w:tcBorders>
          </w:tcPr>
          <w:p w14:paraId="6E98C9B5" w14:textId="77777777" w:rsidR="00403540" w:rsidRPr="00834B04" w:rsidRDefault="00834B04" w:rsidP="00A164EF">
            <w:pPr>
              <w:spacing w:beforeLines="60" w:before="144" w:afterLines="60" w:after="144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or example:</w:t>
            </w:r>
          </w:p>
        </w:tc>
      </w:tr>
      <w:tr w:rsidR="008E5D5D" w:rsidRPr="0019417C" w14:paraId="61440F66" w14:textId="77777777" w:rsidTr="005B2FE2">
        <w:tc>
          <w:tcPr>
            <w:tcW w:w="7938" w:type="dxa"/>
            <w:tcBorders>
              <w:left w:val="nil"/>
            </w:tcBorders>
          </w:tcPr>
          <w:p w14:paraId="03B17FAC" w14:textId="77777777" w:rsidR="008E5D5D" w:rsidRPr="0019417C" w:rsidRDefault="008E5D5D" w:rsidP="00A164EF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Describes opportunities for </w:t>
            </w:r>
            <w:r w:rsidRPr="0019417C">
              <w:rPr>
                <w:rFonts w:ascii="Times New Roman" w:hAnsi="Times New Roman" w:cs="Times New Roman"/>
                <w:sz w:val="24"/>
                <w:szCs w:val="24"/>
              </w:rPr>
              <w:t xml:space="preserve">coaching to improve fidelity of implementation </w:t>
            </w:r>
          </w:p>
        </w:tc>
        <w:tc>
          <w:tcPr>
            <w:tcW w:w="1620" w:type="dxa"/>
            <w:tcBorders>
              <w:right w:val="nil"/>
            </w:tcBorders>
          </w:tcPr>
          <w:p w14:paraId="4B7BA3B4" w14:textId="77777777" w:rsidR="008E5D5D" w:rsidRPr="0019417C" w:rsidRDefault="008E5D5D" w:rsidP="00A164EF">
            <w:pPr>
              <w:spacing w:beforeLines="60" w:before="144" w:afterLines="60" w:after="144"/>
              <w:ind w:left="360"/>
              <w:rPr>
                <w:rFonts w:cs="Times New Roman"/>
                <w:szCs w:val="24"/>
              </w:rPr>
            </w:pPr>
          </w:p>
        </w:tc>
      </w:tr>
      <w:tr w:rsidR="00BC60C3" w:rsidRPr="0019417C" w14:paraId="71CDAEA7" w14:textId="77777777" w:rsidTr="005B2FE2">
        <w:tc>
          <w:tcPr>
            <w:tcW w:w="9558" w:type="dxa"/>
            <w:gridSpan w:val="2"/>
            <w:tcBorders>
              <w:left w:val="nil"/>
              <w:bottom w:val="nil"/>
              <w:right w:val="nil"/>
            </w:tcBorders>
          </w:tcPr>
          <w:p w14:paraId="0B0FA22F" w14:textId="77777777" w:rsidR="00403540" w:rsidRPr="00834B04" w:rsidRDefault="00834B04" w:rsidP="00A164EF">
            <w:pPr>
              <w:spacing w:beforeLines="60" w:before="144" w:afterLines="60" w:after="144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or example:</w:t>
            </w:r>
          </w:p>
        </w:tc>
      </w:tr>
    </w:tbl>
    <w:p w14:paraId="7AB224BD" w14:textId="77777777" w:rsidR="0082772C" w:rsidRPr="0019417C" w:rsidRDefault="0082772C" w:rsidP="00B7029E">
      <w:pPr>
        <w:rPr>
          <w:rFonts w:cs="Times New Roman"/>
          <w:szCs w:val="24"/>
        </w:rPr>
      </w:pPr>
    </w:p>
    <w:p w14:paraId="1F387267" w14:textId="77777777" w:rsidR="00BA739D" w:rsidRPr="009D3B47" w:rsidRDefault="007C23F8" w:rsidP="00784B22">
      <w:pPr>
        <w:keepNext/>
        <w:rPr>
          <w:rFonts w:cs="Times New Roman"/>
          <w:b/>
          <w:sz w:val="22"/>
        </w:rPr>
      </w:pPr>
      <w:r w:rsidRPr="009D3B47">
        <w:rPr>
          <w:rFonts w:cs="Times New Roman"/>
          <w:b/>
          <w:sz w:val="22"/>
        </w:rPr>
        <w:t xml:space="preserve">Authors’ Note: </w:t>
      </w:r>
    </w:p>
    <w:p w14:paraId="5389AA1D" w14:textId="77777777" w:rsidR="007C23F8" w:rsidRPr="009D3B47" w:rsidRDefault="007C23F8" w:rsidP="00784B22">
      <w:pPr>
        <w:keepNext/>
        <w:rPr>
          <w:rFonts w:cs="Times New Roman"/>
          <w:sz w:val="22"/>
        </w:rPr>
      </w:pPr>
      <w:r w:rsidRPr="009D3B47">
        <w:rPr>
          <w:rFonts w:cs="Times New Roman"/>
          <w:sz w:val="22"/>
        </w:rPr>
        <w:t xml:space="preserve">This checklist is not designed to evaluate all components of professional development, because as </w:t>
      </w:r>
      <w:proofErr w:type="spellStart"/>
      <w:r w:rsidRPr="009D3B47">
        <w:rPr>
          <w:rFonts w:cs="Times New Roman"/>
          <w:sz w:val="22"/>
        </w:rPr>
        <w:t>Gusky</w:t>
      </w:r>
      <w:proofErr w:type="spellEnd"/>
      <w:r w:rsidRPr="009D3B47">
        <w:rPr>
          <w:rFonts w:cs="Times New Roman"/>
          <w:sz w:val="22"/>
        </w:rPr>
        <w:t xml:space="preserve"> (2000) points out, professional development is an intentional, ongoing and systemic process. </w:t>
      </w:r>
      <w:r w:rsidR="00BA739D" w:rsidRPr="009D3B47">
        <w:rPr>
          <w:rFonts w:cs="Times New Roman"/>
          <w:sz w:val="22"/>
        </w:rPr>
        <w:t>However, training (e.g. workshops, seminars, conferences, webinars) is the most common form of professional development because it is “the most efficient and cost-effective professional development model for sharing ideas and information with large groups” (p. 23). Therefore, this checklist is designed to improve and evaluate the quality of training.</w:t>
      </w:r>
    </w:p>
    <w:p w14:paraId="63500C6D" w14:textId="77777777" w:rsidR="00BA739D" w:rsidRPr="009D3B47" w:rsidRDefault="00BA739D" w:rsidP="00784B22">
      <w:pPr>
        <w:keepNext/>
        <w:rPr>
          <w:rFonts w:cs="Times New Roman"/>
          <w:sz w:val="20"/>
          <w:szCs w:val="20"/>
        </w:rPr>
      </w:pPr>
    </w:p>
    <w:p w14:paraId="10F98F09" w14:textId="77777777" w:rsidR="00797AD0" w:rsidRPr="009D3B47" w:rsidRDefault="00797AD0" w:rsidP="00784B22">
      <w:pPr>
        <w:keepNext/>
        <w:rPr>
          <w:rFonts w:cs="Times New Roman"/>
          <w:b/>
          <w:sz w:val="20"/>
          <w:szCs w:val="20"/>
        </w:rPr>
      </w:pPr>
      <w:r w:rsidRPr="009D3B47">
        <w:rPr>
          <w:rFonts w:cs="Times New Roman"/>
          <w:b/>
          <w:sz w:val="20"/>
          <w:szCs w:val="20"/>
        </w:rPr>
        <w:t>References</w:t>
      </w:r>
    </w:p>
    <w:p w14:paraId="50F11327" w14:textId="77777777" w:rsidR="00797AD0" w:rsidRPr="009D3B47" w:rsidRDefault="00797AD0" w:rsidP="00C07D7E">
      <w:pPr>
        <w:ind w:left="720" w:hanging="720"/>
        <w:rPr>
          <w:rFonts w:cs="Times New Roman"/>
          <w:sz w:val="20"/>
          <w:szCs w:val="20"/>
        </w:rPr>
      </w:pPr>
      <w:r w:rsidRPr="009D3B47">
        <w:rPr>
          <w:rFonts w:cs="Times New Roman"/>
          <w:sz w:val="20"/>
          <w:szCs w:val="20"/>
        </w:rPr>
        <w:t xml:space="preserve">Archibald, S., </w:t>
      </w:r>
      <w:proofErr w:type="spellStart"/>
      <w:r w:rsidRPr="009D3B47">
        <w:rPr>
          <w:rFonts w:cs="Times New Roman"/>
          <w:sz w:val="20"/>
          <w:szCs w:val="20"/>
        </w:rPr>
        <w:t>Coggshall</w:t>
      </w:r>
      <w:proofErr w:type="spellEnd"/>
      <w:r w:rsidRPr="009D3B47">
        <w:rPr>
          <w:rFonts w:cs="Times New Roman"/>
          <w:sz w:val="20"/>
          <w:szCs w:val="20"/>
        </w:rPr>
        <w:t xml:space="preserve">, J. G., Croft, A., &amp; </w:t>
      </w:r>
      <w:proofErr w:type="spellStart"/>
      <w:r w:rsidRPr="009D3B47">
        <w:rPr>
          <w:rFonts w:cs="Times New Roman"/>
          <w:sz w:val="20"/>
          <w:szCs w:val="20"/>
        </w:rPr>
        <w:t>Goe</w:t>
      </w:r>
      <w:proofErr w:type="spellEnd"/>
      <w:r w:rsidRPr="009D3B47">
        <w:rPr>
          <w:rFonts w:cs="Times New Roman"/>
          <w:sz w:val="20"/>
          <w:szCs w:val="20"/>
        </w:rPr>
        <w:t>, L. (2011).  High-quality professional development for all teachers:  Effectively allocating resources (Research and Policy Brief).  Retrieved from National Comprehensive Center for Teacher Quality website: http://www.tqsource.org/publications/HighQualityProfessionalDevelopment.pdf</w:t>
      </w:r>
    </w:p>
    <w:p w14:paraId="4B789290" w14:textId="77777777" w:rsidR="007C23F8" w:rsidRPr="009D3B47" w:rsidRDefault="007C23F8" w:rsidP="00797AD0">
      <w:pPr>
        <w:ind w:left="720" w:hanging="720"/>
        <w:rPr>
          <w:rFonts w:cs="Times New Roman"/>
          <w:sz w:val="20"/>
          <w:szCs w:val="20"/>
        </w:rPr>
      </w:pPr>
      <w:r w:rsidRPr="009D3B47">
        <w:rPr>
          <w:rFonts w:cs="Times New Roman"/>
          <w:sz w:val="20"/>
          <w:szCs w:val="20"/>
        </w:rPr>
        <w:t>Cooper, J.</w:t>
      </w:r>
      <w:r w:rsidR="00BA739D" w:rsidRPr="009D3B47">
        <w:rPr>
          <w:rFonts w:cs="Times New Roman"/>
          <w:sz w:val="20"/>
          <w:szCs w:val="20"/>
        </w:rPr>
        <w:t xml:space="preserve"> </w:t>
      </w:r>
      <w:r w:rsidRPr="009D3B47">
        <w:rPr>
          <w:rFonts w:cs="Times New Roman"/>
          <w:sz w:val="20"/>
          <w:szCs w:val="20"/>
        </w:rPr>
        <w:t>D.</w:t>
      </w:r>
      <w:r w:rsidR="00BA739D" w:rsidRPr="009D3B47">
        <w:rPr>
          <w:rFonts w:cs="Times New Roman"/>
          <w:sz w:val="20"/>
          <w:szCs w:val="20"/>
        </w:rPr>
        <w:t xml:space="preserve"> (</w:t>
      </w:r>
      <w:proofErr w:type="spellStart"/>
      <w:r w:rsidR="00BA739D" w:rsidRPr="009D3B47">
        <w:rPr>
          <w:rFonts w:cs="Times New Roman"/>
          <w:sz w:val="20"/>
          <w:szCs w:val="20"/>
        </w:rPr>
        <w:t>n.d.</w:t>
      </w:r>
      <w:proofErr w:type="spellEnd"/>
      <w:r w:rsidR="00BA739D" w:rsidRPr="009D3B47">
        <w:rPr>
          <w:rFonts w:cs="Times New Roman"/>
          <w:sz w:val="20"/>
          <w:szCs w:val="20"/>
        </w:rPr>
        <w:t xml:space="preserve">). </w:t>
      </w:r>
      <w:r w:rsidR="00BA739D" w:rsidRPr="009D3B47">
        <w:rPr>
          <w:rFonts w:cs="Times New Roman"/>
          <w:i/>
          <w:sz w:val="20"/>
          <w:szCs w:val="20"/>
        </w:rPr>
        <w:t xml:space="preserve">Professional development: An effective research-based model. </w:t>
      </w:r>
      <w:r w:rsidR="00BA739D" w:rsidRPr="009D3B47">
        <w:rPr>
          <w:rFonts w:cs="Times New Roman"/>
          <w:sz w:val="20"/>
          <w:szCs w:val="20"/>
        </w:rPr>
        <w:t xml:space="preserve">Houghton Mifflin Harcourt. Available at http://www.washingtonstem.org/STEM/media/Media/Resources/Professional-DeveloPment-An-Effective-Research-Based-Model-COOPER.pdf. </w:t>
      </w:r>
    </w:p>
    <w:p w14:paraId="6B9B7E85" w14:textId="77777777" w:rsidR="00797AD0" w:rsidRPr="009D3B47" w:rsidRDefault="00797AD0" w:rsidP="00797AD0">
      <w:pPr>
        <w:ind w:left="720" w:hanging="720"/>
        <w:rPr>
          <w:rFonts w:cs="Times New Roman"/>
          <w:sz w:val="20"/>
          <w:szCs w:val="20"/>
        </w:rPr>
      </w:pPr>
      <w:proofErr w:type="spellStart"/>
      <w:r w:rsidRPr="009D3B47">
        <w:rPr>
          <w:rFonts w:cs="Times New Roman"/>
          <w:sz w:val="20"/>
          <w:szCs w:val="20"/>
        </w:rPr>
        <w:t>Duda</w:t>
      </w:r>
      <w:proofErr w:type="spellEnd"/>
      <w:r w:rsidRPr="009D3B47">
        <w:rPr>
          <w:rFonts w:cs="Times New Roman"/>
          <w:sz w:val="20"/>
          <w:szCs w:val="20"/>
        </w:rPr>
        <w:t xml:space="preserve">, M. A., Van Dyke, M., </w:t>
      </w:r>
      <w:proofErr w:type="spellStart"/>
      <w:r w:rsidRPr="009D3B47">
        <w:rPr>
          <w:rFonts w:cs="Times New Roman"/>
          <w:sz w:val="20"/>
          <w:szCs w:val="20"/>
        </w:rPr>
        <w:t>Borgmeier</w:t>
      </w:r>
      <w:proofErr w:type="spellEnd"/>
      <w:r w:rsidRPr="009D3B47">
        <w:rPr>
          <w:rFonts w:cs="Times New Roman"/>
          <w:sz w:val="20"/>
          <w:szCs w:val="20"/>
        </w:rPr>
        <w:t xml:space="preserve">, C., Davis, S., &amp; </w:t>
      </w:r>
      <w:proofErr w:type="spellStart"/>
      <w:r w:rsidRPr="009D3B47">
        <w:rPr>
          <w:rFonts w:cs="Times New Roman"/>
          <w:sz w:val="20"/>
          <w:szCs w:val="20"/>
        </w:rPr>
        <w:t>McGlinchey</w:t>
      </w:r>
      <w:proofErr w:type="spellEnd"/>
      <w:r w:rsidRPr="009D3B47">
        <w:rPr>
          <w:rFonts w:cs="Times New Roman"/>
          <w:sz w:val="20"/>
          <w:szCs w:val="20"/>
        </w:rPr>
        <w:t xml:space="preserve">, M. (2011, February).  </w:t>
      </w:r>
      <w:r w:rsidRPr="009D3B47">
        <w:rPr>
          <w:rFonts w:cs="Times New Roman"/>
          <w:i/>
          <w:sz w:val="20"/>
          <w:szCs w:val="20"/>
        </w:rPr>
        <w:t xml:space="preserve">Evidence-based professional development. </w:t>
      </w:r>
      <w:r w:rsidRPr="009D3B47">
        <w:rPr>
          <w:rFonts w:cs="Times New Roman"/>
          <w:sz w:val="20"/>
          <w:szCs w:val="20"/>
        </w:rPr>
        <w:t xml:space="preserve"> Presented at the 2011 State Personnel Development Grants Regional Meeting, Washington, DC.  </w:t>
      </w:r>
    </w:p>
    <w:p w14:paraId="475196D9" w14:textId="77777777" w:rsidR="00797AD0" w:rsidRPr="009D3B47" w:rsidRDefault="00797AD0" w:rsidP="00797AD0">
      <w:pPr>
        <w:ind w:left="720" w:hanging="720"/>
        <w:rPr>
          <w:sz w:val="20"/>
          <w:szCs w:val="20"/>
        </w:rPr>
      </w:pPr>
      <w:proofErr w:type="spellStart"/>
      <w:r w:rsidRPr="009D3B47">
        <w:rPr>
          <w:sz w:val="20"/>
          <w:szCs w:val="20"/>
        </w:rPr>
        <w:t>Dunst</w:t>
      </w:r>
      <w:proofErr w:type="spellEnd"/>
      <w:r w:rsidRPr="009D3B47">
        <w:rPr>
          <w:sz w:val="20"/>
          <w:szCs w:val="20"/>
        </w:rPr>
        <w:t xml:space="preserve">, C. J., &amp; </w:t>
      </w:r>
      <w:proofErr w:type="spellStart"/>
      <w:r w:rsidRPr="009D3B47">
        <w:rPr>
          <w:sz w:val="20"/>
          <w:szCs w:val="20"/>
        </w:rPr>
        <w:t>Trivette</w:t>
      </w:r>
      <w:proofErr w:type="spellEnd"/>
      <w:r w:rsidRPr="009D3B47">
        <w:rPr>
          <w:sz w:val="20"/>
          <w:szCs w:val="20"/>
        </w:rPr>
        <w:t xml:space="preserve">, C. M. (2009). Let’s be PALS: An evidence-based approach to professional development. </w:t>
      </w:r>
      <w:r w:rsidRPr="009D3B47">
        <w:rPr>
          <w:i/>
          <w:sz w:val="20"/>
          <w:szCs w:val="20"/>
        </w:rPr>
        <w:t>Infants &amp; Young Children, 22</w:t>
      </w:r>
      <w:r w:rsidRPr="009D3B47">
        <w:rPr>
          <w:sz w:val="20"/>
          <w:szCs w:val="20"/>
        </w:rPr>
        <w:t>(3), 164-176.</w:t>
      </w:r>
    </w:p>
    <w:p w14:paraId="2014D747" w14:textId="77777777" w:rsidR="007C23F8" w:rsidRPr="009D3B47" w:rsidRDefault="007C23F8" w:rsidP="00797AD0">
      <w:pPr>
        <w:ind w:left="720" w:hanging="720"/>
        <w:rPr>
          <w:sz w:val="20"/>
          <w:szCs w:val="20"/>
        </w:rPr>
      </w:pPr>
      <w:proofErr w:type="spellStart"/>
      <w:r w:rsidRPr="009D3B47">
        <w:rPr>
          <w:sz w:val="20"/>
          <w:szCs w:val="20"/>
        </w:rPr>
        <w:t>Guskey</w:t>
      </w:r>
      <w:proofErr w:type="spellEnd"/>
      <w:r w:rsidR="00BA739D" w:rsidRPr="009D3B47">
        <w:rPr>
          <w:sz w:val="20"/>
          <w:szCs w:val="20"/>
        </w:rPr>
        <w:t>, T.R.</w:t>
      </w:r>
      <w:r w:rsidRPr="009D3B47">
        <w:rPr>
          <w:sz w:val="20"/>
          <w:szCs w:val="20"/>
        </w:rPr>
        <w:t xml:space="preserve"> (2000).</w:t>
      </w:r>
      <w:r w:rsidR="00BA739D" w:rsidRPr="009D3B47">
        <w:rPr>
          <w:sz w:val="20"/>
          <w:szCs w:val="20"/>
        </w:rPr>
        <w:t xml:space="preserve"> </w:t>
      </w:r>
      <w:r w:rsidR="00BA739D" w:rsidRPr="009D3B47">
        <w:rPr>
          <w:i/>
          <w:sz w:val="20"/>
          <w:szCs w:val="20"/>
        </w:rPr>
        <w:t xml:space="preserve">Evaluating professional development. </w:t>
      </w:r>
      <w:r w:rsidR="00ED7D17" w:rsidRPr="009D3B47">
        <w:rPr>
          <w:sz w:val="20"/>
          <w:szCs w:val="20"/>
        </w:rPr>
        <w:t>Thousand Oaks, CA: Corwin.</w:t>
      </w:r>
    </w:p>
    <w:p w14:paraId="5A938D77" w14:textId="77777777" w:rsidR="00797AD0" w:rsidRPr="009D3B47" w:rsidRDefault="00797AD0" w:rsidP="00797AD0">
      <w:pPr>
        <w:ind w:left="720" w:hanging="720"/>
        <w:rPr>
          <w:sz w:val="20"/>
          <w:szCs w:val="20"/>
        </w:rPr>
      </w:pPr>
      <w:proofErr w:type="spellStart"/>
      <w:r w:rsidRPr="009D3B47">
        <w:rPr>
          <w:sz w:val="20"/>
          <w:szCs w:val="20"/>
        </w:rPr>
        <w:t>Hunzicker</w:t>
      </w:r>
      <w:proofErr w:type="spellEnd"/>
      <w:r w:rsidRPr="009D3B47">
        <w:rPr>
          <w:sz w:val="20"/>
          <w:szCs w:val="20"/>
        </w:rPr>
        <w:t xml:space="preserve">, J. (2010). Characteristics of effective professional </w:t>
      </w:r>
      <w:r w:rsidRPr="009D3B47">
        <w:rPr>
          <w:rFonts w:cs="Times New Roman"/>
          <w:sz w:val="20"/>
          <w:szCs w:val="20"/>
        </w:rPr>
        <w:t>development</w:t>
      </w:r>
      <w:r w:rsidRPr="009D3B47">
        <w:rPr>
          <w:sz w:val="20"/>
          <w:szCs w:val="20"/>
        </w:rPr>
        <w:t xml:space="preserve">: A checklist. Unpublished manuscript, Department of Teacher Education, Bradley University, Peoria, Illinois. </w:t>
      </w:r>
    </w:p>
    <w:p w14:paraId="69A703CA" w14:textId="77777777" w:rsidR="00BA739D" w:rsidRPr="009D3B47" w:rsidRDefault="00BA739D" w:rsidP="00797AD0">
      <w:pPr>
        <w:ind w:left="720" w:hanging="720"/>
        <w:rPr>
          <w:sz w:val="20"/>
          <w:szCs w:val="20"/>
        </w:rPr>
      </w:pPr>
      <w:r w:rsidRPr="009D3B47">
        <w:rPr>
          <w:sz w:val="20"/>
          <w:szCs w:val="20"/>
        </w:rPr>
        <w:t xml:space="preserve">Joyce, B., &amp; Showers, B. (2002). </w:t>
      </w:r>
      <w:r w:rsidRPr="009D3B47">
        <w:rPr>
          <w:i/>
          <w:sz w:val="20"/>
          <w:szCs w:val="20"/>
        </w:rPr>
        <w:t xml:space="preserve">Student achievement through staff development </w:t>
      </w:r>
      <w:r w:rsidRPr="009D3B47">
        <w:rPr>
          <w:sz w:val="20"/>
          <w:szCs w:val="20"/>
        </w:rPr>
        <w:t>(3</w:t>
      </w:r>
      <w:r w:rsidRPr="009D3B47">
        <w:rPr>
          <w:sz w:val="20"/>
          <w:szCs w:val="20"/>
          <w:vertAlign w:val="superscript"/>
        </w:rPr>
        <w:t>rd</w:t>
      </w:r>
      <w:r w:rsidRPr="009D3B47">
        <w:rPr>
          <w:sz w:val="20"/>
          <w:szCs w:val="20"/>
        </w:rPr>
        <w:t xml:space="preserve"> ed.). Alexandria, VA: Association for Supervision and Curriculum Development.</w:t>
      </w:r>
    </w:p>
    <w:p w14:paraId="47495C5C" w14:textId="77777777" w:rsidR="008E5EEA" w:rsidRPr="008E5EEA" w:rsidRDefault="008E5EEA" w:rsidP="00797AD0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Knowles, M. S. (1980). </w:t>
      </w:r>
      <w:r>
        <w:rPr>
          <w:i/>
          <w:sz w:val="20"/>
          <w:szCs w:val="20"/>
        </w:rPr>
        <w:t xml:space="preserve">The modern practice of adult education: From pedagogy to andragogy. </w:t>
      </w:r>
      <w:r>
        <w:rPr>
          <w:sz w:val="20"/>
          <w:szCs w:val="20"/>
        </w:rPr>
        <w:t>New York: Cambridge.</w:t>
      </w:r>
    </w:p>
    <w:p w14:paraId="6469188D" w14:textId="77777777" w:rsidR="00797AD0" w:rsidRPr="009D3B47" w:rsidRDefault="00797AD0" w:rsidP="00797AD0">
      <w:pPr>
        <w:ind w:left="720" w:hanging="720"/>
        <w:rPr>
          <w:sz w:val="20"/>
          <w:szCs w:val="20"/>
        </w:rPr>
      </w:pPr>
      <w:proofErr w:type="spellStart"/>
      <w:r w:rsidRPr="009D3B47">
        <w:rPr>
          <w:sz w:val="20"/>
          <w:szCs w:val="20"/>
        </w:rPr>
        <w:t>Knoff</w:t>
      </w:r>
      <w:proofErr w:type="spellEnd"/>
      <w:r w:rsidRPr="009D3B47">
        <w:rPr>
          <w:sz w:val="20"/>
          <w:szCs w:val="20"/>
        </w:rPr>
        <w:t>, H. M. (</w:t>
      </w:r>
      <w:r w:rsidRPr="009D3B47">
        <w:rPr>
          <w:rFonts w:cs="Times New Roman"/>
          <w:sz w:val="20"/>
          <w:szCs w:val="20"/>
        </w:rPr>
        <w:t>2011</w:t>
      </w:r>
      <w:r w:rsidRPr="009D3B47">
        <w:rPr>
          <w:sz w:val="20"/>
          <w:szCs w:val="20"/>
        </w:rPr>
        <w:t xml:space="preserve">). Arkansas SPDG research-based professional development: Evaluation form. Unpublished instrument. </w:t>
      </w:r>
    </w:p>
    <w:p w14:paraId="2EDFBEFA" w14:textId="77777777" w:rsidR="00AF3806" w:rsidRPr="009D3B47" w:rsidRDefault="00AF3806" w:rsidP="00AF3806">
      <w:pPr>
        <w:ind w:left="360" w:hanging="360"/>
        <w:rPr>
          <w:sz w:val="20"/>
          <w:szCs w:val="20"/>
        </w:rPr>
      </w:pPr>
      <w:r w:rsidRPr="009D3B47">
        <w:rPr>
          <w:sz w:val="20"/>
          <w:szCs w:val="20"/>
        </w:rPr>
        <w:t xml:space="preserve">Learning Forward. (2012). Standards for Professional Learning. Retrieved from, </w:t>
      </w:r>
      <w:hyperlink r:id="rId8" w:anchor=".U-EvhPldXFo" w:history="1">
        <w:r w:rsidRPr="009D3B47">
          <w:rPr>
            <w:rStyle w:val="Hyperlink"/>
            <w:sz w:val="20"/>
            <w:szCs w:val="20"/>
          </w:rPr>
          <w:t>http://learningforward.org/standards-for-professional-learning#.U-EvhPldXFo</w:t>
        </w:r>
      </w:hyperlink>
      <w:r w:rsidRPr="009D3B47">
        <w:rPr>
          <w:sz w:val="20"/>
          <w:szCs w:val="20"/>
        </w:rPr>
        <w:t>.</w:t>
      </w:r>
    </w:p>
    <w:p w14:paraId="58AE49EC" w14:textId="77777777" w:rsidR="004747B1" w:rsidRPr="009D3B47" w:rsidRDefault="004747B1" w:rsidP="004747B1">
      <w:pPr>
        <w:ind w:left="720" w:hanging="720"/>
        <w:rPr>
          <w:rFonts w:cs="Times New Roman"/>
          <w:sz w:val="20"/>
          <w:szCs w:val="20"/>
        </w:rPr>
      </w:pPr>
      <w:r w:rsidRPr="009D3B47">
        <w:rPr>
          <w:rFonts w:cs="Times New Roman"/>
          <w:sz w:val="20"/>
          <w:szCs w:val="20"/>
        </w:rPr>
        <w:t>National Research Council. </w:t>
      </w:r>
      <w:r w:rsidRPr="009D3B47">
        <w:rPr>
          <w:rFonts w:cs="Times New Roman"/>
          <w:i/>
          <w:iCs/>
          <w:sz w:val="20"/>
          <w:szCs w:val="20"/>
        </w:rPr>
        <w:t>How People Learn: Bridging Research and Practice</w:t>
      </w:r>
      <w:r w:rsidRPr="009D3B47">
        <w:rPr>
          <w:rFonts w:cs="Times New Roman"/>
          <w:sz w:val="20"/>
          <w:szCs w:val="20"/>
        </w:rPr>
        <w:t>. Washington, DC: The National Academies Press, 1999.</w:t>
      </w:r>
    </w:p>
    <w:p w14:paraId="3156B90E" w14:textId="77777777" w:rsidR="00797AD0" w:rsidRPr="009D3B47" w:rsidRDefault="00797AD0" w:rsidP="00797AD0">
      <w:pPr>
        <w:ind w:left="720" w:hanging="720"/>
        <w:rPr>
          <w:rFonts w:cs="Times New Roman"/>
          <w:sz w:val="20"/>
          <w:szCs w:val="20"/>
        </w:rPr>
      </w:pPr>
      <w:proofErr w:type="spellStart"/>
      <w:r w:rsidRPr="009D3B47">
        <w:rPr>
          <w:rFonts w:cs="Times New Roman"/>
          <w:sz w:val="20"/>
          <w:szCs w:val="20"/>
        </w:rPr>
        <w:t>Trivette</w:t>
      </w:r>
      <w:proofErr w:type="spellEnd"/>
      <w:r w:rsidRPr="009D3B47">
        <w:rPr>
          <w:rFonts w:cs="Times New Roman"/>
          <w:sz w:val="20"/>
          <w:szCs w:val="20"/>
        </w:rPr>
        <w:t xml:space="preserve">, C. M., </w:t>
      </w:r>
      <w:proofErr w:type="spellStart"/>
      <w:r w:rsidRPr="009D3B47">
        <w:rPr>
          <w:rFonts w:cs="Times New Roman"/>
          <w:sz w:val="20"/>
          <w:szCs w:val="20"/>
        </w:rPr>
        <w:t>Dunst</w:t>
      </w:r>
      <w:proofErr w:type="spellEnd"/>
      <w:r w:rsidRPr="009D3B47">
        <w:rPr>
          <w:rFonts w:cs="Times New Roman"/>
          <w:sz w:val="20"/>
          <w:szCs w:val="20"/>
        </w:rPr>
        <w:t xml:space="preserve">, C. J., Hamby, D.W., &amp; </w:t>
      </w:r>
      <w:proofErr w:type="spellStart"/>
      <w:r w:rsidRPr="009D3B47">
        <w:rPr>
          <w:rFonts w:cs="Times New Roman"/>
          <w:sz w:val="20"/>
          <w:szCs w:val="20"/>
        </w:rPr>
        <w:t>O’Herin</w:t>
      </w:r>
      <w:proofErr w:type="spellEnd"/>
      <w:r w:rsidRPr="009D3B47">
        <w:rPr>
          <w:rFonts w:cs="Times New Roman"/>
          <w:sz w:val="20"/>
          <w:szCs w:val="20"/>
        </w:rPr>
        <w:t>, C. E. (2009). </w:t>
      </w:r>
      <w:hyperlink r:id="rId9" w:history="1">
        <w:r w:rsidRPr="009D3B47">
          <w:rPr>
            <w:rFonts w:cs="Times New Roman"/>
            <w:sz w:val="20"/>
            <w:szCs w:val="20"/>
          </w:rPr>
          <w:t>Characteristics and consequences of adult learning methods and strategies</w:t>
        </w:r>
      </w:hyperlink>
      <w:r w:rsidRPr="009D3B47">
        <w:rPr>
          <w:rFonts w:cs="Times New Roman"/>
          <w:sz w:val="20"/>
          <w:szCs w:val="20"/>
        </w:rPr>
        <w:t> (Winterberry Research Synthesis, Vol. 2, No. 2). Asheville, NC: Winterberry Press.</w:t>
      </w:r>
    </w:p>
    <w:p w14:paraId="67060B27" w14:textId="77777777" w:rsidR="00ED7D17" w:rsidRPr="009D3B47" w:rsidRDefault="00ED7D17" w:rsidP="00797AD0">
      <w:pPr>
        <w:ind w:left="720" w:hanging="720"/>
        <w:rPr>
          <w:rFonts w:cs="Times New Roman"/>
          <w:sz w:val="20"/>
          <w:szCs w:val="20"/>
        </w:rPr>
      </w:pPr>
      <w:r w:rsidRPr="009D3B47">
        <w:rPr>
          <w:rFonts w:cs="Times New Roman"/>
          <w:sz w:val="20"/>
          <w:szCs w:val="20"/>
        </w:rPr>
        <w:t xml:space="preserve">Wei, R. C., Darling-Hammond, L., &amp; Adamson, F. (2010). </w:t>
      </w:r>
      <w:r w:rsidRPr="009D3B47">
        <w:rPr>
          <w:rFonts w:cs="Times New Roman"/>
          <w:i/>
          <w:sz w:val="20"/>
          <w:szCs w:val="20"/>
        </w:rPr>
        <w:t xml:space="preserve">Professional learning in the United States: Trends and challenges. </w:t>
      </w:r>
      <w:r w:rsidR="00AF3806" w:rsidRPr="009D3B47">
        <w:rPr>
          <w:rFonts w:cs="Times New Roman"/>
          <w:sz w:val="20"/>
          <w:szCs w:val="20"/>
        </w:rPr>
        <w:t xml:space="preserve">Dallas, TX: National Staff Development Council. </w:t>
      </w:r>
    </w:p>
    <w:p w14:paraId="6DE6B26E" w14:textId="77777777" w:rsidR="009D3B47" w:rsidRDefault="009D3B47" w:rsidP="00E365CD">
      <w:pPr>
        <w:pStyle w:val="PlainText"/>
        <w:rPr>
          <w:rFonts w:ascii="Times New Roman" w:hAnsi="Times New Roman" w:cs="Times New Roman"/>
          <w:sz w:val="20"/>
          <w:szCs w:val="20"/>
        </w:rPr>
      </w:pPr>
    </w:p>
    <w:p w14:paraId="465808F1" w14:textId="77777777" w:rsidR="00E365CD" w:rsidRPr="009D3B47" w:rsidRDefault="00E365CD" w:rsidP="00E365CD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9D3B47">
        <w:rPr>
          <w:rFonts w:ascii="Times New Roman" w:hAnsi="Times New Roman" w:cs="Times New Roman"/>
          <w:sz w:val="20"/>
          <w:szCs w:val="20"/>
        </w:rPr>
        <w:t>This evaluation instrument was developed under a grant from the US Department of Education, #H323A120018. However, those contents do not necessarily represent the policy of the US Department of Education, and you should not assume endorsement by the Office of Special Education Programs.</w:t>
      </w:r>
    </w:p>
    <w:sectPr w:rsidR="00E365CD" w:rsidRPr="009D3B47" w:rsidSect="00617F13">
      <w:footerReference w:type="default" r:id="rId10"/>
      <w:pgSz w:w="12240" w:h="15840" w:code="1"/>
      <w:pgMar w:top="1080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5C803" w14:textId="77777777" w:rsidR="0075193C" w:rsidRDefault="0075193C" w:rsidP="0082772C">
      <w:pPr>
        <w:spacing w:line="240" w:lineRule="auto"/>
      </w:pPr>
      <w:r>
        <w:separator/>
      </w:r>
    </w:p>
  </w:endnote>
  <w:endnote w:type="continuationSeparator" w:id="0">
    <w:p w14:paraId="32C3E2DE" w14:textId="77777777" w:rsidR="0075193C" w:rsidRDefault="0075193C" w:rsidP="00827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98E7A" w14:textId="77777777" w:rsidR="008E5D5D" w:rsidRDefault="000E02AD" w:rsidP="00D03FF8">
    <w:pPr>
      <w:pStyle w:val="Footer"/>
    </w:pPr>
    <w:r>
      <w:t>Research Collaboration</w:t>
    </w:r>
    <w:r w:rsidR="008E5D5D">
      <w:tab/>
    </w:r>
    <w:r>
      <w:t>February 2015</w:t>
    </w:r>
    <w:r w:rsidR="008E5D5D">
      <w:tab/>
    </w:r>
    <w:sdt>
      <w:sdtPr>
        <w:id w:val="16606579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E5D5D">
          <w:fldChar w:fldCharType="begin"/>
        </w:r>
        <w:r w:rsidR="008E5D5D">
          <w:instrText xml:space="preserve"> PAGE   \* MERGEFORMAT </w:instrText>
        </w:r>
        <w:r w:rsidR="008E5D5D">
          <w:fldChar w:fldCharType="separate"/>
        </w:r>
        <w:r w:rsidR="00F54DA3">
          <w:rPr>
            <w:noProof/>
          </w:rPr>
          <w:t>3</w:t>
        </w:r>
        <w:r w:rsidR="008E5D5D">
          <w:rPr>
            <w:noProof/>
          </w:rPr>
          <w:fldChar w:fldCharType="end"/>
        </w:r>
      </w:sdtContent>
    </w:sdt>
  </w:p>
  <w:p w14:paraId="78ABC44B" w14:textId="77777777" w:rsidR="008E5D5D" w:rsidRDefault="008E5D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F55DD" w14:textId="77777777" w:rsidR="0075193C" w:rsidRDefault="0075193C" w:rsidP="0082772C">
      <w:pPr>
        <w:spacing w:line="240" w:lineRule="auto"/>
      </w:pPr>
      <w:r>
        <w:separator/>
      </w:r>
    </w:p>
  </w:footnote>
  <w:footnote w:type="continuationSeparator" w:id="0">
    <w:p w14:paraId="5804BBCF" w14:textId="77777777" w:rsidR="0075193C" w:rsidRDefault="0075193C" w:rsidP="0082772C">
      <w:pPr>
        <w:spacing w:line="240" w:lineRule="auto"/>
      </w:pPr>
      <w:r>
        <w:continuationSeparator/>
      </w:r>
    </w:p>
  </w:footnote>
  <w:footnote w:id="1">
    <w:p w14:paraId="257D9D53" w14:textId="77777777" w:rsidR="008E5D5D" w:rsidRDefault="008E5D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</w:rPr>
        <w:t xml:space="preserve">Noonan, P., Langham, A., &amp; </w:t>
      </w:r>
      <w:proofErr w:type="spellStart"/>
      <w:r>
        <w:rPr>
          <w:szCs w:val="24"/>
        </w:rPr>
        <w:t>Gaumer</w:t>
      </w:r>
      <w:proofErr w:type="spellEnd"/>
      <w:r>
        <w:rPr>
          <w:szCs w:val="24"/>
        </w:rPr>
        <w:t xml:space="preserve"> Erickson, A. (2013). </w:t>
      </w:r>
      <w:r w:rsidRPr="007159B0">
        <w:rPr>
          <w:i/>
          <w:szCs w:val="24"/>
        </w:rPr>
        <w:t>Observation checklist for high-quality professional development in education</w:t>
      </w:r>
      <w:r>
        <w:rPr>
          <w:szCs w:val="24"/>
        </w:rPr>
        <w:t>. Center for Research on Learning, University of Kansas, Lawrence, Kansas.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16A5"/>
    <w:multiLevelType w:val="hybridMultilevel"/>
    <w:tmpl w:val="4F44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71332"/>
    <w:multiLevelType w:val="hybridMultilevel"/>
    <w:tmpl w:val="D9F4E3C4"/>
    <w:lvl w:ilvl="0" w:tplc="60B2E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E6FD9"/>
    <w:multiLevelType w:val="hybridMultilevel"/>
    <w:tmpl w:val="322C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C77DC"/>
    <w:multiLevelType w:val="hybridMultilevel"/>
    <w:tmpl w:val="0ED4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CB"/>
    <w:rsid w:val="000015CB"/>
    <w:rsid w:val="000215EA"/>
    <w:rsid w:val="000241EE"/>
    <w:rsid w:val="00037501"/>
    <w:rsid w:val="000413C0"/>
    <w:rsid w:val="000576AC"/>
    <w:rsid w:val="0006588A"/>
    <w:rsid w:val="000678B2"/>
    <w:rsid w:val="000C5184"/>
    <w:rsid w:val="000C5529"/>
    <w:rsid w:val="000E02AD"/>
    <w:rsid w:val="00101247"/>
    <w:rsid w:val="0011266D"/>
    <w:rsid w:val="00151114"/>
    <w:rsid w:val="00154A98"/>
    <w:rsid w:val="00167511"/>
    <w:rsid w:val="00167E00"/>
    <w:rsid w:val="0017296B"/>
    <w:rsid w:val="00176815"/>
    <w:rsid w:val="001873EC"/>
    <w:rsid w:val="0019417C"/>
    <w:rsid w:val="001B593E"/>
    <w:rsid w:val="001F1271"/>
    <w:rsid w:val="001F607E"/>
    <w:rsid w:val="00216194"/>
    <w:rsid w:val="00230113"/>
    <w:rsid w:val="002302D4"/>
    <w:rsid w:val="00237504"/>
    <w:rsid w:val="00240123"/>
    <w:rsid w:val="00261366"/>
    <w:rsid w:val="00280442"/>
    <w:rsid w:val="002D0D8D"/>
    <w:rsid w:val="002D3838"/>
    <w:rsid w:val="002E720D"/>
    <w:rsid w:val="00302FB9"/>
    <w:rsid w:val="003035C5"/>
    <w:rsid w:val="00321ECD"/>
    <w:rsid w:val="00324E8F"/>
    <w:rsid w:val="00343644"/>
    <w:rsid w:val="00352074"/>
    <w:rsid w:val="00370AED"/>
    <w:rsid w:val="00394B20"/>
    <w:rsid w:val="003A7638"/>
    <w:rsid w:val="003A7648"/>
    <w:rsid w:val="003E09CA"/>
    <w:rsid w:val="003E419D"/>
    <w:rsid w:val="00403540"/>
    <w:rsid w:val="00412EBB"/>
    <w:rsid w:val="00416AA0"/>
    <w:rsid w:val="004609E7"/>
    <w:rsid w:val="0046410A"/>
    <w:rsid w:val="004747B1"/>
    <w:rsid w:val="0049157F"/>
    <w:rsid w:val="004C3189"/>
    <w:rsid w:val="004D29DF"/>
    <w:rsid w:val="004F1610"/>
    <w:rsid w:val="005066CC"/>
    <w:rsid w:val="005100A0"/>
    <w:rsid w:val="00514317"/>
    <w:rsid w:val="00541E6D"/>
    <w:rsid w:val="005561F0"/>
    <w:rsid w:val="00585068"/>
    <w:rsid w:val="005928EB"/>
    <w:rsid w:val="0059355A"/>
    <w:rsid w:val="005A057C"/>
    <w:rsid w:val="005A1FE8"/>
    <w:rsid w:val="005A6596"/>
    <w:rsid w:val="005B2FE2"/>
    <w:rsid w:val="005C3919"/>
    <w:rsid w:val="005C7CE1"/>
    <w:rsid w:val="005D4F48"/>
    <w:rsid w:val="005F2715"/>
    <w:rsid w:val="006056A8"/>
    <w:rsid w:val="00617F13"/>
    <w:rsid w:val="00633098"/>
    <w:rsid w:val="00665E57"/>
    <w:rsid w:val="006808DA"/>
    <w:rsid w:val="00691B43"/>
    <w:rsid w:val="00694A0A"/>
    <w:rsid w:val="00697505"/>
    <w:rsid w:val="006E15DD"/>
    <w:rsid w:val="00700675"/>
    <w:rsid w:val="0070652E"/>
    <w:rsid w:val="007159B0"/>
    <w:rsid w:val="00735CC9"/>
    <w:rsid w:val="0075193C"/>
    <w:rsid w:val="007602A9"/>
    <w:rsid w:val="00774744"/>
    <w:rsid w:val="00784B22"/>
    <w:rsid w:val="00794E84"/>
    <w:rsid w:val="00797AD0"/>
    <w:rsid w:val="007A27DA"/>
    <w:rsid w:val="007A334B"/>
    <w:rsid w:val="007A79C9"/>
    <w:rsid w:val="007C23F8"/>
    <w:rsid w:val="007C4364"/>
    <w:rsid w:val="007C5DC7"/>
    <w:rsid w:val="007C65EB"/>
    <w:rsid w:val="007F6EE2"/>
    <w:rsid w:val="00820073"/>
    <w:rsid w:val="0082772C"/>
    <w:rsid w:val="008339B9"/>
    <w:rsid w:val="00834B04"/>
    <w:rsid w:val="00857C36"/>
    <w:rsid w:val="00864163"/>
    <w:rsid w:val="008D2E8D"/>
    <w:rsid w:val="008E21CB"/>
    <w:rsid w:val="008E5D5D"/>
    <w:rsid w:val="008E5EEA"/>
    <w:rsid w:val="008F0D8E"/>
    <w:rsid w:val="008F5DD8"/>
    <w:rsid w:val="00900760"/>
    <w:rsid w:val="009226B1"/>
    <w:rsid w:val="00926632"/>
    <w:rsid w:val="009517CF"/>
    <w:rsid w:val="009B78FE"/>
    <w:rsid w:val="009D3B47"/>
    <w:rsid w:val="009E07B5"/>
    <w:rsid w:val="009E6A4C"/>
    <w:rsid w:val="009F0BF9"/>
    <w:rsid w:val="00A0285F"/>
    <w:rsid w:val="00A126D6"/>
    <w:rsid w:val="00A164EF"/>
    <w:rsid w:val="00A550A5"/>
    <w:rsid w:val="00A71226"/>
    <w:rsid w:val="00A901FE"/>
    <w:rsid w:val="00A952A2"/>
    <w:rsid w:val="00AB358A"/>
    <w:rsid w:val="00AB3CDA"/>
    <w:rsid w:val="00AE4672"/>
    <w:rsid w:val="00AF3806"/>
    <w:rsid w:val="00B047AD"/>
    <w:rsid w:val="00B17659"/>
    <w:rsid w:val="00B27960"/>
    <w:rsid w:val="00B33AEF"/>
    <w:rsid w:val="00B40F9B"/>
    <w:rsid w:val="00B41B8D"/>
    <w:rsid w:val="00B430A2"/>
    <w:rsid w:val="00B52FB1"/>
    <w:rsid w:val="00B7029E"/>
    <w:rsid w:val="00B8643A"/>
    <w:rsid w:val="00B87D9B"/>
    <w:rsid w:val="00BA30DB"/>
    <w:rsid w:val="00BA5009"/>
    <w:rsid w:val="00BA739D"/>
    <w:rsid w:val="00BB6AFA"/>
    <w:rsid w:val="00BB7C86"/>
    <w:rsid w:val="00BC60C3"/>
    <w:rsid w:val="00BD04B6"/>
    <w:rsid w:val="00C01FB1"/>
    <w:rsid w:val="00C07D7E"/>
    <w:rsid w:val="00C32838"/>
    <w:rsid w:val="00C41324"/>
    <w:rsid w:val="00C47DE4"/>
    <w:rsid w:val="00C55F54"/>
    <w:rsid w:val="00C6436B"/>
    <w:rsid w:val="00C71439"/>
    <w:rsid w:val="00C8375B"/>
    <w:rsid w:val="00C96BAC"/>
    <w:rsid w:val="00CA3A1F"/>
    <w:rsid w:val="00CC654B"/>
    <w:rsid w:val="00CC75F4"/>
    <w:rsid w:val="00CE30A0"/>
    <w:rsid w:val="00CE4E09"/>
    <w:rsid w:val="00D030CB"/>
    <w:rsid w:val="00D03520"/>
    <w:rsid w:val="00D03FF8"/>
    <w:rsid w:val="00D57149"/>
    <w:rsid w:val="00D6774F"/>
    <w:rsid w:val="00D929DF"/>
    <w:rsid w:val="00D94A5F"/>
    <w:rsid w:val="00DB3F01"/>
    <w:rsid w:val="00DB4D4C"/>
    <w:rsid w:val="00DF2CD1"/>
    <w:rsid w:val="00DF6FE0"/>
    <w:rsid w:val="00E00E24"/>
    <w:rsid w:val="00E1379B"/>
    <w:rsid w:val="00E15253"/>
    <w:rsid w:val="00E15A75"/>
    <w:rsid w:val="00E351B9"/>
    <w:rsid w:val="00E365CD"/>
    <w:rsid w:val="00E41731"/>
    <w:rsid w:val="00E53645"/>
    <w:rsid w:val="00E80775"/>
    <w:rsid w:val="00E85BD7"/>
    <w:rsid w:val="00E916FE"/>
    <w:rsid w:val="00E95F2C"/>
    <w:rsid w:val="00EA4659"/>
    <w:rsid w:val="00ED4B36"/>
    <w:rsid w:val="00ED7D17"/>
    <w:rsid w:val="00EE2449"/>
    <w:rsid w:val="00EF3364"/>
    <w:rsid w:val="00EF4D49"/>
    <w:rsid w:val="00F11174"/>
    <w:rsid w:val="00F13836"/>
    <w:rsid w:val="00F22DA3"/>
    <w:rsid w:val="00F30395"/>
    <w:rsid w:val="00F34135"/>
    <w:rsid w:val="00F4062A"/>
    <w:rsid w:val="00F54DA3"/>
    <w:rsid w:val="00FB1A96"/>
    <w:rsid w:val="00FB6860"/>
    <w:rsid w:val="00FC65F9"/>
    <w:rsid w:val="00FD524F"/>
    <w:rsid w:val="00FD786A"/>
    <w:rsid w:val="00FE18A0"/>
    <w:rsid w:val="00FE37CD"/>
    <w:rsid w:val="00FE5FB2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43D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638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ECB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0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29E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29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BB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B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2EB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F16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7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72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77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72C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4747B1"/>
  </w:style>
  <w:style w:type="character" w:styleId="Emphasis">
    <w:name w:val="Emphasis"/>
    <w:basedOn w:val="DefaultParagraphFont"/>
    <w:uiPriority w:val="20"/>
    <w:qFormat/>
    <w:rsid w:val="004747B1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FF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FF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FF8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365CD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65C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earningforward.org/standards-for-professional-learning" TargetMode="External"/><Relationship Id="rId9" Type="http://schemas.openxmlformats.org/officeDocument/2006/relationships/hyperlink" Target="http://signetwork.org/content_page_assets/content_page_66/adult%20learning%20Trivette%20and%20Dunst.pdf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54D6-895D-3045-85AD-D4FF03A3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6079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Langham</dc:creator>
  <cp:lastModifiedBy>Jocelyn Washburn</cp:lastModifiedBy>
  <cp:revision>2</cp:revision>
  <cp:lastPrinted>2013-02-28T19:30:00Z</cp:lastPrinted>
  <dcterms:created xsi:type="dcterms:W3CDTF">2018-06-01T12:46:00Z</dcterms:created>
  <dcterms:modified xsi:type="dcterms:W3CDTF">2018-06-01T12:46:00Z</dcterms:modified>
</cp:coreProperties>
</file>