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1109" w14:textId="4D42A96C" w:rsidR="00780D59" w:rsidRPr="0009357D" w:rsidRDefault="00227469" w:rsidP="00227469">
      <w:pPr>
        <w:jc w:val="center"/>
        <w:rPr>
          <w:b/>
          <w:bCs/>
        </w:rPr>
      </w:pPr>
      <w:r w:rsidRPr="0009357D">
        <w:rPr>
          <w:b/>
          <w:bCs/>
        </w:rPr>
        <w:t>A Crosswalk Between Content Enhancement Routine Guidebook Formats</w:t>
      </w:r>
    </w:p>
    <w:p w14:paraId="116A6E4D" w14:textId="3B164030" w:rsidR="00227469" w:rsidRDefault="00227469" w:rsidP="00227469">
      <w:pPr>
        <w:jc w:val="center"/>
      </w:pPr>
    </w:p>
    <w:p w14:paraId="5FA93E76" w14:textId="5864B5C7" w:rsidR="00227469" w:rsidRDefault="009F146F" w:rsidP="00227469">
      <w:r>
        <w:t xml:space="preserve">The original format of a Content Enhancement Routine (CER) guidebook follows a Get Ready, Get Set, Go, and Win structure. A consistent format across CER guidebooks </w:t>
      </w:r>
      <w:r w:rsidR="00EB5840">
        <w:t xml:space="preserve">may </w:t>
      </w:r>
      <w:r>
        <w:t xml:space="preserve">help teachers more quickly learn new, subsequent CERs. </w:t>
      </w:r>
      <w:r w:rsidR="008A7F14" w:rsidRPr="00E53311">
        <w:rPr>
          <w:color w:val="000000" w:themeColor="text1"/>
        </w:rPr>
        <w:t xml:space="preserve">The most recently published guidebooks follow another research driven efficient and effective format for showing teachers how to draft CER devices, instruct with them, and reflect on their use. </w:t>
      </w:r>
      <w:r>
        <w:t xml:space="preserve">This crosswalk intends to support SIM professional developers and teachers in </w:t>
      </w:r>
      <w:r w:rsidR="00A83D48">
        <w:t>their observation of</w:t>
      </w:r>
      <w:r>
        <w:t xml:space="preserve"> similar and different organizational patterns present in </w:t>
      </w:r>
      <w:r w:rsidR="00A83D48">
        <w:t>each</w:t>
      </w:r>
      <w:r>
        <w:t xml:space="preserve"> format. </w:t>
      </w:r>
      <w:r w:rsidR="00EB5840">
        <w:t>It may also help authors determine a best, additional new format in years to come.</w:t>
      </w:r>
    </w:p>
    <w:p w14:paraId="413749AE" w14:textId="01126B89" w:rsidR="00EB5840" w:rsidRDefault="00EB5840" w:rsidP="00227469"/>
    <w:p w14:paraId="3AB419A6" w14:textId="5B5E6EC4" w:rsidR="00EB5840" w:rsidRPr="00AC1595" w:rsidRDefault="00EB5840" w:rsidP="00227469">
      <w:r>
        <w:t xml:space="preserve">The table is organized in columns to show what each format offers uniquely and what they offer in common. They have much more in common than </w:t>
      </w:r>
      <w:r w:rsidR="00646974">
        <w:t>difference</w:t>
      </w:r>
      <w:r w:rsidR="00AC1595">
        <w:t>s</w:t>
      </w:r>
      <w:r w:rsidR="00646974">
        <w:t>; however, some elements appear in different sections. Colored font has been used to show the same information provided in different sections.</w:t>
      </w:r>
      <w:r w:rsidR="00676AB5">
        <w:t xml:space="preserve"> </w:t>
      </w:r>
      <w:r w:rsidR="00676AB5" w:rsidRPr="00AC1595">
        <w:t>To note, regardless of the guidebook format, all CERs continue to include these common components:</w:t>
      </w:r>
    </w:p>
    <w:p w14:paraId="74135174" w14:textId="747C9A01" w:rsidR="00676AB5" w:rsidRPr="00AC1595" w:rsidRDefault="00676AB5" w:rsidP="00676AB5">
      <w:pPr>
        <w:pStyle w:val="ListParagraph"/>
        <w:numPr>
          <w:ilvl w:val="0"/>
          <w:numId w:val="3"/>
        </w:numPr>
      </w:pPr>
      <w:r w:rsidRPr="00AC1595">
        <w:t>Cue-Do-Review</w:t>
      </w:r>
      <w:r w:rsidR="00AC1595" w:rsidRPr="00AC1595">
        <w:t xml:space="preserve"> instructional sequence/procedures</w:t>
      </w:r>
    </w:p>
    <w:p w14:paraId="03BA0737" w14:textId="4F2AA236" w:rsidR="00676AB5" w:rsidRPr="00AC1595" w:rsidRDefault="00AC1595" w:rsidP="00676AB5">
      <w:pPr>
        <w:pStyle w:val="ListParagraph"/>
        <w:numPr>
          <w:ilvl w:val="0"/>
          <w:numId w:val="3"/>
        </w:numPr>
      </w:pPr>
      <w:r w:rsidRPr="00AC1595">
        <w:t>“</w:t>
      </w:r>
      <w:r w:rsidR="00676AB5" w:rsidRPr="00AC1595">
        <w:t>Linking Steps</w:t>
      </w:r>
      <w:r w:rsidRPr="00AC1595">
        <w:t>” or guiding steps</w:t>
      </w:r>
    </w:p>
    <w:p w14:paraId="112523F3" w14:textId="00294D2F" w:rsidR="00676AB5" w:rsidRPr="00AC1595" w:rsidRDefault="00676AB5" w:rsidP="00676AB5">
      <w:pPr>
        <w:pStyle w:val="ListParagraph"/>
        <w:numPr>
          <w:ilvl w:val="0"/>
          <w:numId w:val="3"/>
        </w:numPr>
      </w:pPr>
      <w:r w:rsidRPr="00AC1595">
        <w:t xml:space="preserve">Visual </w:t>
      </w:r>
      <w:r w:rsidR="00AC1595" w:rsidRPr="00AC1595">
        <w:t>d</w:t>
      </w:r>
      <w:r w:rsidRPr="00AC1595">
        <w:t>evice</w:t>
      </w:r>
      <w:r w:rsidR="00AC1595" w:rsidRPr="00AC1595">
        <w:t xml:space="preserve"> or graphic organizer/guide</w:t>
      </w:r>
    </w:p>
    <w:p w14:paraId="668AC614" w14:textId="77777777" w:rsidR="00646974" w:rsidRDefault="00646974" w:rsidP="00227469"/>
    <w:p w14:paraId="4DA1ECAB" w14:textId="77777777" w:rsidR="00646974" w:rsidRDefault="00646974" w:rsidP="00646974">
      <w:r>
        <w:t xml:space="preserve">CER Guidebooks using the </w:t>
      </w:r>
      <w:r w:rsidRPr="00EB5840">
        <w:rPr>
          <w:i/>
          <w:iCs/>
        </w:rPr>
        <w:t>Original Format</w:t>
      </w:r>
      <w:r>
        <w:t xml:space="preserve"> are published by Edge Enterprises, Inc. They are Course Organizer Routine, Unit Organizer Routine, Lesson Organizer Routine, Framing Routine Routine, Vocabulary LINCing Routine, Clarifying Routine, Recall Enhancement Routine, Concept Mastery Routine, Concept Anchoring Routine, Concept Comparison Routine, Survey Routine, Quality Assignment Routine, Question Exploration Routine.</w:t>
      </w:r>
    </w:p>
    <w:p w14:paraId="58013330" w14:textId="77777777" w:rsidR="00646974" w:rsidRDefault="00646974" w:rsidP="00646974"/>
    <w:p w14:paraId="460BCC1A" w14:textId="0815E1E8" w:rsidR="00646974" w:rsidRDefault="00646974" w:rsidP="00227469">
      <w:r>
        <w:t xml:space="preserve">CER Guidebooks using the </w:t>
      </w:r>
      <w:r w:rsidRPr="00EB5840">
        <w:rPr>
          <w:i/>
          <w:iCs/>
        </w:rPr>
        <w:t>New Format</w:t>
      </w:r>
      <w:r>
        <w:t xml:space="preserve"> are published by the Center for Research on Learning. They are Teaching Cause and Effect Routine, Teaching Decision-Making Routine, Cross-Curricular Argumentation Routine, Scientific Argumentation Routine.</w:t>
      </w:r>
    </w:p>
    <w:p w14:paraId="2F8A64F3" w14:textId="6B4F866E" w:rsidR="00A83D48" w:rsidRDefault="00A83D48" w:rsidP="00227469"/>
    <w:tbl>
      <w:tblPr>
        <w:tblStyle w:val="TableGrid"/>
        <w:tblW w:w="0" w:type="auto"/>
        <w:tblLook w:val="04A0" w:firstRow="1" w:lastRow="0" w:firstColumn="1" w:lastColumn="0" w:noHBand="0" w:noVBand="1"/>
      </w:tblPr>
      <w:tblGrid>
        <w:gridCol w:w="4630"/>
        <w:gridCol w:w="4193"/>
        <w:gridCol w:w="4127"/>
      </w:tblGrid>
      <w:tr w:rsidR="00CC65AE" w14:paraId="0F35B8BE" w14:textId="3DD75466" w:rsidTr="00CC65AE">
        <w:tc>
          <w:tcPr>
            <w:tcW w:w="4630" w:type="dxa"/>
            <w:shd w:val="clear" w:color="auto" w:fill="D9D9D9" w:themeFill="background1" w:themeFillShade="D9"/>
          </w:tcPr>
          <w:p w14:paraId="19DCAF04" w14:textId="3176FD36" w:rsidR="00CC65AE" w:rsidRPr="00B66FBD" w:rsidRDefault="00CC65AE" w:rsidP="00227469">
            <w:pPr>
              <w:rPr>
                <w:b/>
                <w:bCs/>
              </w:rPr>
            </w:pPr>
            <w:r>
              <w:rPr>
                <w:b/>
                <w:bCs/>
              </w:rPr>
              <w:t xml:space="preserve">Unique Details of the </w:t>
            </w:r>
            <w:r w:rsidRPr="00B66FBD">
              <w:rPr>
                <w:b/>
                <w:bCs/>
              </w:rPr>
              <w:t xml:space="preserve">Original CER Guidebook </w:t>
            </w:r>
            <w:r>
              <w:rPr>
                <w:b/>
                <w:bCs/>
              </w:rPr>
              <w:t>Per Section (Edge)</w:t>
            </w:r>
          </w:p>
        </w:tc>
        <w:tc>
          <w:tcPr>
            <w:tcW w:w="4193" w:type="dxa"/>
            <w:shd w:val="clear" w:color="auto" w:fill="D9D9D9" w:themeFill="background1" w:themeFillShade="D9"/>
          </w:tcPr>
          <w:p w14:paraId="4232F73B" w14:textId="1553AAEF" w:rsidR="00CC65AE" w:rsidRPr="00B66FBD" w:rsidRDefault="00CC65AE" w:rsidP="00227469">
            <w:pPr>
              <w:rPr>
                <w:b/>
                <w:bCs/>
              </w:rPr>
            </w:pPr>
            <w:r>
              <w:rPr>
                <w:b/>
                <w:bCs/>
              </w:rPr>
              <w:t xml:space="preserve">Unique Details of the </w:t>
            </w:r>
            <w:r w:rsidRPr="00B66FBD">
              <w:rPr>
                <w:b/>
                <w:bCs/>
              </w:rPr>
              <w:t xml:space="preserve">New CER Guidebook </w:t>
            </w:r>
            <w:r>
              <w:rPr>
                <w:b/>
                <w:bCs/>
              </w:rPr>
              <w:t>Per Section (CRL)</w:t>
            </w:r>
          </w:p>
        </w:tc>
        <w:tc>
          <w:tcPr>
            <w:tcW w:w="4127" w:type="dxa"/>
            <w:shd w:val="clear" w:color="auto" w:fill="D9D9D9" w:themeFill="background1" w:themeFillShade="D9"/>
          </w:tcPr>
          <w:p w14:paraId="08CDABFE" w14:textId="7B02868A" w:rsidR="00CC65AE" w:rsidRPr="00B66FBD" w:rsidRDefault="00CC65AE" w:rsidP="00227469">
            <w:pPr>
              <w:rPr>
                <w:b/>
                <w:bCs/>
              </w:rPr>
            </w:pPr>
            <w:r>
              <w:rPr>
                <w:b/>
                <w:bCs/>
              </w:rPr>
              <w:t>Commonalities Between Guidebooks Per Related Section</w:t>
            </w:r>
          </w:p>
        </w:tc>
      </w:tr>
      <w:tr w:rsidR="00CC65AE" w14:paraId="19B74D73" w14:textId="554BE811" w:rsidTr="00CC65AE">
        <w:tc>
          <w:tcPr>
            <w:tcW w:w="4630" w:type="dxa"/>
          </w:tcPr>
          <w:p w14:paraId="671BA988" w14:textId="77777777" w:rsidR="00CC65AE" w:rsidRPr="00D07188" w:rsidRDefault="00CC65AE" w:rsidP="00227469">
            <w:pPr>
              <w:rPr>
                <w:b/>
                <w:bCs/>
              </w:rPr>
            </w:pPr>
            <w:r w:rsidRPr="00D07188">
              <w:rPr>
                <w:b/>
                <w:bCs/>
              </w:rPr>
              <w:t>Introduction</w:t>
            </w:r>
          </w:p>
          <w:p w14:paraId="4E91B454" w14:textId="79D1A2C2" w:rsidR="00CC65AE" w:rsidRPr="00EB5840" w:rsidRDefault="00EB5840" w:rsidP="00227469">
            <w:r w:rsidRPr="00EB5840">
              <w:t>P</w:t>
            </w:r>
            <w:r w:rsidR="00D07188" w:rsidRPr="00EB5840">
              <w:t>rovides</w:t>
            </w:r>
            <w:r w:rsidR="00CC65AE" w:rsidRPr="00EB5840">
              <w:t xml:space="preserve"> tips for use with other CER</w:t>
            </w:r>
          </w:p>
        </w:tc>
        <w:tc>
          <w:tcPr>
            <w:tcW w:w="4193" w:type="dxa"/>
          </w:tcPr>
          <w:p w14:paraId="4964D1F0" w14:textId="77777777" w:rsidR="00CC65AE" w:rsidRPr="00D07188" w:rsidRDefault="00CC65AE" w:rsidP="00227469">
            <w:pPr>
              <w:rPr>
                <w:b/>
                <w:bCs/>
              </w:rPr>
            </w:pPr>
            <w:r w:rsidRPr="00D07188">
              <w:rPr>
                <w:b/>
                <w:bCs/>
              </w:rPr>
              <w:t>Ch 1: Introduction</w:t>
            </w:r>
          </w:p>
          <w:p w14:paraId="46BFD029" w14:textId="54EAB2C9" w:rsidR="00CC65AE" w:rsidRPr="00EB5840" w:rsidRDefault="00D07188" w:rsidP="00227469">
            <w:r w:rsidRPr="00EB5840">
              <w:t xml:space="preserve">Provides </w:t>
            </w:r>
            <w:r w:rsidR="00CC65AE" w:rsidRPr="00EB5840">
              <w:t>relation of given CER to SIM overall</w:t>
            </w:r>
          </w:p>
        </w:tc>
        <w:tc>
          <w:tcPr>
            <w:tcW w:w="4127" w:type="dxa"/>
          </w:tcPr>
          <w:p w14:paraId="5C12C83D" w14:textId="0F5F273F" w:rsidR="00CC65AE" w:rsidRPr="004E0308" w:rsidRDefault="00D07188" w:rsidP="00227469">
            <w:pPr>
              <w:rPr>
                <w:b/>
                <w:bCs/>
              </w:rPr>
            </w:pPr>
            <w:r w:rsidRPr="004E0308">
              <w:t>Both Introduction Sections provide the purpose of given CER, supporting research, and an overview of guidebook.</w:t>
            </w:r>
          </w:p>
        </w:tc>
      </w:tr>
      <w:tr w:rsidR="00CC65AE" w14:paraId="61B8F774" w14:textId="5798B3DC" w:rsidTr="00CC65AE">
        <w:tc>
          <w:tcPr>
            <w:tcW w:w="4630" w:type="dxa"/>
          </w:tcPr>
          <w:p w14:paraId="4890D05E" w14:textId="77777777" w:rsidR="00CC65AE" w:rsidRPr="00AF4FBA" w:rsidRDefault="00CC65AE" w:rsidP="00227469">
            <w:pPr>
              <w:rPr>
                <w:b/>
                <w:bCs/>
              </w:rPr>
            </w:pPr>
            <w:r w:rsidRPr="00AF4FBA">
              <w:rPr>
                <w:b/>
                <w:bCs/>
              </w:rPr>
              <w:lastRenderedPageBreak/>
              <w:t>Overview</w:t>
            </w:r>
          </w:p>
          <w:p w14:paraId="6406FC52" w14:textId="77777777" w:rsidR="00CC65AE" w:rsidRDefault="00CC65AE" w:rsidP="00880D6A">
            <w:pPr>
              <w:pStyle w:val="ListParagraph"/>
              <w:numPr>
                <w:ilvl w:val="0"/>
                <w:numId w:val="2"/>
              </w:numPr>
            </w:pPr>
            <w:r>
              <w:t>Device</w:t>
            </w:r>
          </w:p>
          <w:p w14:paraId="332AEC6F" w14:textId="77777777" w:rsidR="00CC65AE" w:rsidRDefault="00CC65AE" w:rsidP="00880D6A">
            <w:pPr>
              <w:pStyle w:val="ListParagraph"/>
              <w:numPr>
                <w:ilvl w:val="0"/>
                <w:numId w:val="2"/>
              </w:numPr>
            </w:pPr>
            <w:r>
              <w:t>Linking Steps</w:t>
            </w:r>
          </w:p>
          <w:p w14:paraId="5575D3D7" w14:textId="77777777" w:rsidR="00CC65AE" w:rsidRDefault="00CC65AE" w:rsidP="00880D6A">
            <w:pPr>
              <w:pStyle w:val="ListParagraph"/>
              <w:numPr>
                <w:ilvl w:val="0"/>
                <w:numId w:val="2"/>
              </w:numPr>
            </w:pPr>
            <w:r>
              <w:t>Cue-Do-Review Sequence</w:t>
            </w:r>
          </w:p>
          <w:p w14:paraId="054C9178" w14:textId="6901D8B9" w:rsidR="00CC65AE" w:rsidRDefault="00CC65AE" w:rsidP="00880D6A">
            <w:pPr>
              <w:pStyle w:val="ListParagraph"/>
              <w:numPr>
                <w:ilvl w:val="0"/>
                <w:numId w:val="2"/>
              </w:numPr>
            </w:pPr>
            <w:r>
              <w:t>An Example</w:t>
            </w:r>
          </w:p>
        </w:tc>
        <w:tc>
          <w:tcPr>
            <w:tcW w:w="4193" w:type="dxa"/>
          </w:tcPr>
          <w:p w14:paraId="657557DF" w14:textId="0470654D" w:rsidR="00CC65AE" w:rsidRDefault="00D07188" w:rsidP="00227469">
            <w:r>
              <w:t>While the “overview” section</w:t>
            </w:r>
            <w:r w:rsidR="004E0308">
              <w:t xml:space="preserve"> (i.e., snapshot of the CER)</w:t>
            </w:r>
            <w:r>
              <w:t xml:space="preserve"> does not exist in this guidebook format, these elements are captured in the subsequent </w:t>
            </w:r>
            <w:r w:rsidR="004E0308">
              <w:t>comparatively shorter</w:t>
            </w:r>
            <w:r>
              <w:t xml:space="preserve"> sections.</w:t>
            </w:r>
          </w:p>
        </w:tc>
        <w:tc>
          <w:tcPr>
            <w:tcW w:w="4127" w:type="dxa"/>
          </w:tcPr>
          <w:p w14:paraId="1838E7C0" w14:textId="77777777" w:rsidR="00CC65AE" w:rsidRDefault="00CC65AE" w:rsidP="00227469"/>
        </w:tc>
      </w:tr>
      <w:tr w:rsidR="00CC65AE" w14:paraId="7D97B698" w14:textId="5A1F68A5" w:rsidTr="00CC65AE">
        <w:tc>
          <w:tcPr>
            <w:tcW w:w="4630" w:type="dxa"/>
          </w:tcPr>
          <w:p w14:paraId="1AFCFA50" w14:textId="4521C9A1" w:rsidR="00CC65AE" w:rsidRPr="004E0308" w:rsidRDefault="00CC65AE" w:rsidP="00AC6F63">
            <w:pPr>
              <w:rPr>
                <w:b/>
                <w:bCs/>
              </w:rPr>
            </w:pPr>
            <w:r w:rsidRPr="00AF4FBA">
              <w:rPr>
                <w:b/>
                <w:bCs/>
              </w:rPr>
              <w:t>Get Ready!</w:t>
            </w:r>
          </w:p>
        </w:tc>
        <w:tc>
          <w:tcPr>
            <w:tcW w:w="4193" w:type="dxa"/>
          </w:tcPr>
          <w:p w14:paraId="48F5FDD9" w14:textId="77777777" w:rsidR="00CC65AE" w:rsidRPr="0051458E" w:rsidRDefault="00CC65AE" w:rsidP="00AC6F63">
            <w:pPr>
              <w:rPr>
                <w:b/>
                <w:bCs/>
              </w:rPr>
            </w:pPr>
            <w:r w:rsidRPr="0051458E">
              <w:rPr>
                <w:b/>
                <w:bCs/>
              </w:rPr>
              <w:t>Ch 2: The Guide</w:t>
            </w:r>
          </w:p>
          <w:p w14:paraId="761B85C2" w14:textId="1D183B85" w:rsidR="00CC65AE" w:rsidRDefault="00CC65AE" w:rsidP="00AC6F63"/>
        </w:tc>
        <w:tc>
          <w:tcPr>
            <w:tcW w:w="4127" w:type="dxa"/>
          </w:tcPr>
          <w:p w14:paraId="01FE6F1E" w14:textId="04ACCC0C" w:rsidR="00CC65AE" w:rsidRPr="004E0308" w:rsidRDefault="004E0308" w:rsidP="00AC6F63">
            <w:pPr>
              <w:rPr>
                <w:b/>
                <w:bCs/>
              </w:rPr>
            </w:pPr>
            <w:r w:rsidRPr="004E0308">
              <w:t xml:space="preserve">Both </w:t>
            </w:r>
            <w:r w:rsidRPr="004E0308">
              <w:rPr>
                <w:i/>
                <w:iCs/>
              </w:rPr>
              <w:t>Get Ready!</w:t>
            </w:r>
            <w:r w:rsidRPr="004E0308">
              <w:t xml:space="preserve"> </w:t>
            </w:r>
            <w:r>
              <w:t>a</w:t>
            </w:r>
            <w:r w:rsidRPr="004E0308">
              <w:t xml:space="preserve">nd </w:t>
            </w:r>
            <w:r w:rsidRPr="004E0308">
              <w:rPr>
                <w:i/>
                <w:iCs/>
              </w:rPr>
              <w:t>Ch. 2: The Guide</w:t>
            </w:r>
            <w:r w:rsidRPr="004E0308">
              <w:t xml:space="preserve"> provide guidelines for deciding when to use the given CER, how to draft the device, and planning considerations</w:t>
            </w:r>
            <w:r>
              <w:t>.</w:t>
            </w:r>
          </w:p>
        </w:tc>
      </w:tr>
      <w:tr w:rsidR="00CC65AE" w14:paraId="0B6205BC" w14:textId="18F977F7" w:rsidTr="00CC65AE">
        <w:tc>
          <w:tcPr>
            <w:tcW w:w="4630" w:type="dxa"/>
          </w:tcPr>
          <w:p w14:paraId="5370734F" w14:textId="77777777" w:rsidR="00CC65AE" w:rsidRPr="00AF4FBA" w:rsidRDefault="00CC65AE" w:rsidP="00AC6F63">
            <w:pPr>
              <w:rPr>
                <w:b/>
                <w:bCs/>
              </w:rPr>
            </w:pPr>
            <w:r w:rsidRPr="00AF4FBA">
              <w:rPr>
                <w:b/>
                <w:bCs/>
              </w:rPr>
              <w:t>Get Set!</w:t>
            </w:r>
          </w:p>
          <w:p w14:paraId="4044F0E3" w14:textId="7B54DB71" w:rsidR="00CC65AE" w:rsidRPr="004E0308" w:rsidRDefault="00CC65AE" w:rsidP="00AC6F63">
            <w:r w:rsidRPr="004E0308">
              <w:t>Provides guidelines for how to introduce the given CER for the first time to students and how to describe its purpose and benefits to students</w:t>
            </w:r>
            <w:r w:rsidR="004E0308" w:rsidRPr="004E0308">
              <w:t>,</w:t>
            </w:r>
            <w:r w:rsidRPr="004E0308">
              <w:t xml:space="preserve"> and </w:t>
            </w:r>
            <w:r w:rsidRPr="00EB5840">
              <w:rPr>
                <w:color w:val="538135" w:themeColor="accent6" w:themeShade="BF"/>
              </w:rPr>
              <w:t>provides a sample script for how to co-construct the given CER</w:t>
            </w:r>
          </w:p>
        </w:tc>
        <w:tc>
          <w:tcPr>
            <w:tcW w:w="4193" w:type="dxa"/>
          </w:tcPr>
          <w:p w14:paraId="057F12C7" w14:textId="16D26FA9" w:rsidR="00CC65AE" w:rsidRPr="0051458E" w:rsidRDefault="00CC65AE" w:rsidP="00AC6F63">
            <w:pPr>
              <w:rPr>
                <w:b/>
                <w:bCs/>
              </w:rPr>
            </w:pPr>
            <w:r w:rsidRPr="0051458E">
              <w:rPr>
                <w:b/>
                <w:bCs/>
              </w:rPr>
              <w:t>Ch 3: Using the Routine with Students</w:t>
            </w:r>
          </w:p>
          <w:p w14:paraId="2FD9FE1F" w14:textId="527C4725" w:rsidR="00CC65AE" w:rsidRPr="004E0308" w:rsidRDefault="00CC65AE" w:rsidP="0051458E">
            <w:r w:rsidRPr="004E0308">
              <w:t>Provides an explanation of the Cue-Do-Review Sequence and how to implement the given CER with students</w:t>
            </w:r>
            <w:r w:rsidR="00F03AE7">
              <w:t xml:space="preserve"> </w:t>
            </w:r>
          </w:p>
        </w:tc>
        <w:tc>
          <w:tcPr>
            <w:tcW w:w="4127" w:type="dxa"/>
          </w:tcPr>
          <w:p w14:paraId="357BFCB3" w14:textId="3D7CC75C" w:rsidR="00CC65AE" w:rsidRPr="004E0308" w:rsidRDefault="004E0308" w:rsidP="00AC6F63">
            <w:r>
              <w:t>While the purposes of these sections are the same, the sections include different resources.</w:t>
            </w:r>
            <w:r w:rsidR="00F03AE7">
              <w:t xml:space="preserve"> For example, </w:t>
            </w:r>
            <w:r w:rsidR="00F03AE7" w:rsidRPr="00F03AE7">
              <w:rPr>
                <w:i/>
                <w:iCs/>
              </w:rPr>
              <w:t>Ch 3: Using the Routine with Student</w:t>
            </w:r>
            <w:r w:rsidR="00F03AE7">
              <w:t xml:space="preserve">s does not provide a sample script as the </w:t>
            </w:r>
            <w:r w:rsidR="00F03AE7" w:rsidRPr="00F03AE7">
              <w:rPr>
                <w:i/>
                <w:iCs/>
              </w:rPr>
              <w:t xml:space="preserve">Get Set! </w:t>
            </w:r>
            <w:r w:rsidR="00F03AE7" w:rsidRPr="00F03AE7">
              <w:t>s</w:t>
            </w:r>
            <w:r w:rsidR="00F03AE7">
              <w:t xml:space="preserve">ection does; however, </w:t>
            </w:r>
            <w:r w:rsidR="00F03AE7" w:rsidRPr="00750831">
              <w:rPr>
                <w:i/>
                <w:iCs/>
              </w:rPr>
              <w:t>Ch. 3</w:t>
            </w:r>
            <w:r w:rsidR="00F03AE7">
              <w:t xml:space="preserve"> does provide explicit steps to co-construct the device with students</w:t>
            </w:r>
            <w:r w:rsidR="00EB5840">
              <w:t xml:space="preserve"> and a sample script in provided in </w:t>
            </w:r>
            <w:r w:rsidR="00EB5840" w:rsidRPr="00EB5840">
              <w:rPr>
                <w:i/>
                <w:iCs/>
              </w:rPr>
              <w:t>Appendix C</w:t>
            </w:r>
            <w:r w:rsidR="00F03AE7">
              <w:t>.</w:t>
            </w:r>
          </w:p>
        </w:tc>
      </w:tr>
      <w:tr w:rsidR="00CC65AE" w14:paraId="40C1AC80" w14:textId="709A31D2" w:rsidTr="00CC65AE">
        <w:tc>
          <w:tcPr>
            <w:tcW w:w="4630" w:type="dxa"/>
          </w:tcPr>
          <w:p w14:paraId="42021D8A" w14:textId="77777777" w:rsidR="00CC65AE" w:rsidRDefault="00CC65AE" w:rsidP="00AC6F63">
            <w:pPr>
              <w:rPr>
                <w:b/>
                <w:bCs/>
              </w:rPr>
            </w:pPr>
            <w:r w:rsidRPr="00AF4FBA">
              <w:rPr>
                <w:b/>
                <w:bCs/>
              </w:rPr>
              <w:t>Go!</w:t>
            </w:r>
          </w:p>
          <w:p w14:paraId="4A82C753" w14:textId="66340CA0" w:rsidR="00750831" w:rsidRPr="00750831" w:rsidRDefault="00750831" w:rsidP="00AC6F63">
            <w:pPr>
              <w:rPr>
                <w:b/>
                <w:bCs/>
              </w:rPr>
            </w:pPr>
            <w:r w:rsidRPr="00750831">
              <w:rPr>
                <w:color w:val="7030A0"/>
              </w:rPr>
              <w:t>Provides information on how to use the given CER with writing</w:t>
            </w:r>
          </w:p>
        </w:tc>
        <w:tc>
          <w:tcPr>
            <w:tcW w:w="4193" w:type="dxa"/>
          </w:tcPr>
          <w:p w14:paraId="441A9CBA" w14:textId="77777777" w:rsidR="00CC65AE" w:rsidRPr="0051458E" w:rsidRDefault="00CC65AE" w:rsidP="00AC6F63">
            <w:pPr>
              <w:rPr>
                <w:b/>
                <w:bCs/>
              </w:rPr>
            </w:pPr>
            <w:r w:rsidRPr="0051458E">
              <w:rPr>
                <w:b/>
                <w:bCs/>
              </w:rPr>
              <w:t>Ch 4: Extend Student Learning</w:t>
            </w:r>
          </w:p>
          <w:p w14:paraId="1625A6AD" w14:textId="48693C22" w:rsidR="00CC65AE" w:rsidRPr="00750831" w:rsidRDefault="00CC65AE" w:rsidP="00AC6F63">
            <w:r w:rsidRPr="00750831">
              <w:rPr>
                <w:color w:val="4472C4" w:themeColor="accent1"/>
              </w:rPr>
              <w:t>Provides suggestions for checking student</w:t>
            </w:r>
            <w:r w:rsidR="00750831" w:rsidRPr="00750831">
              <w:rPr>
                <w:color w:val="4472C4" w:themeColor="accent1"/>
              </w:rPr>
              <w:t>s</w:t>
            </w:r>
            <w:r w:rsidRPr="00750831">
              <w:rPr>
                <w:color w:val="4472C4" w:themeColor="accent1"/>
              </w:rPr>
              <w:t xml:space="preserve"> are benefiting from the given CER</w:t>
            </w:r>
          </w:p>
        </w:tc>
        <w:tc>
          <w:tcPr>
            <w:tcW w:w="4127" w:type="dxa"/>
          </w:tcPr>
          <w:p w14:paraId="66763A7A" w14:textId="433054F4" w:rsidR="00CC65AE" w:rsidRPr="00750831" w:rsidRDefault="00750831" w:rsidP="00AC6F63">
            <w:r>
              <w:t xml:space="preserve">Both </w:t>
            </w:r>
            <w:r w:rsidRPr="00750831">
              <w:rPr>
                <w:i/>
                <w:iCs/>
              </w:rPr>
              <w:t>Go!</w:t>
            </w:r>
            <w:r>
              <w:t xml:space="preserve"> And </w:t>
            </w:r>
            <w:r w:rsidRPr="00750831">
              <w:rPr>
                <w:i/>
                <w:iCs/>
              </w:rPr>
              <w:t xml:space="preserve">Ch. 4 Extend Student Learning </w:t>
            </w:r>
            <w:r>
              <w:t xml:space="preserve">sections </w:t>
            </w:r>
            <w:r w:rsidRPr="00750831">
              <w:t>provide guidelines for using the given routine on a regular basis in varied ways</w:t>
            </w:r>
            <w:r>
              <w:t>.</w:t>
            </w:r>
          </w:p>
        </w:tc>
      </w:tr>
      <w:tr w:rsidR="00CC65AE" w14:paraId="25A41981" w14:textId="60AE3774" w:rsidTr="00CC65AE">
        <w:tc>
          <w:tcPr>
            <w:tcW w:w="4630" w:type="dxa"/>
          </w:tcPr>
          <w:p w14:paraId="5BEBEDFC" w14:textId="77777777" w:rsidR="00CC65AE" w:rsidRPr="00AF4FBA" w:rsidRDefault="00CC65AE" w:rsidP="00AC6F63">
            <w:pPr>
              <w:rPr>
                <w:b/>
                <w:bCs/>
              </w:rPr>
            </w:pPr>
            <w:r w:rsidRPr="00AF4FBA">
              <w:rPr>
                <w:b/>
                <w:bCs/>
              </w:rPr>
              <w:t>Win!</w:t>
            </w:r>
          </w:p>
          <w:p w14:paraId="6103846A" w14:textId="21A52440" w:rsidR="00CC65AE" w:rsidRPr="00750831" w:rsidRDefault="00CC65AE" w:rsidP="00AC6F63">
            <w:r w:rsidRPr="00750831">
              <w:rPr>
                <w:color w:val="4472C4" w:themeColor="accent1"/>
              </w:rPr>
              <w:t xml:space="preserve">Provides </w:t>
            </w:r>
            <w:r w:rsidR="00750831" w:rsidRPr="00750831">
              <w:rPr>
                <w:color w:val="4472C4" w:themeColor="accent1"/>
              </w:rPr>
              <w:t>suggestions</w:t>
            </w:r>
            <w:r w:rsidRPr="00750831">
              <w:rPr>
                <w:color w:val="4472C4" w:themeColor="accent1"/>
              </w:rPr>
              <w:t xml:space="preserve"> for checking student</w:t>
            </w:r>
            <w:r w:rsidR="00750831" w:rsidRPr="00750831">
              <w:rPr>
                <w:color w:val="4472C4" w:themeColor="accent1"/>
              </w:rPr>
              <w:t>s</w:t>
            </w:r>
            <w:r w:rsidRPr="00750831">
              <w:rPr>
                <w:color w:val="4472C4" w:themeColor="accent1"/>
              </w:rPr>
              <w:t xml:space="preserve"> are benefiting from the given CER </w:t>
            </w:r>
            <w:r w:rsidRPr="00750831">
              <w:t>and how teachers can continually grow in their use of the given CER</w:t>
            </w:r>
          </w:p>
        </w:tc>
        <w:tc>
          <w:tcPr>
            <w:tcW w:w="4193" w:type="dxa"/>
          </w:tcPr>
          <w:p w14:paraId="5EFBAF25" w14:textId="77777777" w:rsidR="00CC65AE" w:rsidRDefault="00CC65AE" w:rsidP="00AC6F63"/>
        </w:tc>
        <w:tc>
          <w:tcPr>
            <w:tcW w:w="4127" w:type="dxa"/>
          </w:tcPr>
          <w:p w14:paraId="169254E1" w14:textId="77777777" w:rsidR="00CC65AE" w:rsidRDefault="00CC65AE" w:rsidP="00AC6F63"/>
        </w:tc>
      </w:tr>
      <w:tr w:rsidR="00CC65AE" w14:paraId="4DECDEAB" w14:textId="06CEF942" w:rsidTr="00CC65AE">
        <w:tc>
          <w:tcPr>
            <w:tcW w:w="4630" w:type="dxa"/>
          </w:tcPr>
          <w:p w14:paraId="3951999A" w14:textId="77777777" w:rsidR="00CC65AE" w:rsidRDefault="00CC65AE" w:rsidP="00AC6F63">
            <w:pPr>
              <w:rPr>
                <w:b/>
                <w:bCs/>
              </w:rPr>
            </w:pPr>
            <w:r w:rsidRPr="00AF4FBA">
              <w:rPr>
                <w:b/>
                <w:bCs/>
              </w:rPr>
              <w:t>Appendix A: Instructional Materials</w:t>
            </w:r>
          </w:p>
          <w:p w14:paraId="2373322C" w14:textId="50F4BFFE" w:rsidR="00CC65AE" w:rsidRPr="00AF4FBA" w:rsidRDefault="00CC65AE" w:rsidP="00AC6F63">
            <w:pPr>
              <w:rPr>
                <w:b/>
                <w:bCs/>
              </w:rPr>
            </w:pPr>
          </w:p>
        </w:tc>
        <w:tc>
          <w:tcPr>
            <w:tcW w:w="4193" w:type="dxa"/>
          </w:tcPr>
          <w:p w14:paraId="605EBEAF" w14:textId="77777777" w:rsidR="00CC65AE" w:rsidRPr="00610EDC" w:rsidRDefault="00CC65AE" w:rsidP="00AC6F63">
            <w:pPr>
              <w:rPr>
                <w:b/>
                <w:bCs/>
              </w:rPr>
            </w:pPr>
            <w:r w:rsidRPr="00610EDC">
              <w:rPr>
                <w:b/>
                <w:bCs/>
              </w:rPr>
              <w:t>Appendix A: Instructional Materials</w:t>
            </w:r>
          </w:p>
          <w:p w14:paraId="15588054" w14:textId="19CA1056" w:rsidR="00CC65AE" w:rsidRDefault="00CC65AE" w:rsidP="00AC6F63">
            <w:r w:rsidRPr="00750831">
              <w:rPr>
                <w:color w:val="7030A0"/>
              </w:rPr>
              <w:t>Provides information on how to use the given CER with writing</w:t>
            </w:r>
          </w:p>
        </w:tc>
        <w:tc>
          <w:tcPr>
            <w:tcW w:w="4127" w:type="dxa"/>
          </w:tcPr>
          <w:p w14:paraId="4D3D1152" w14:textId="697BFCF2" w:rsidR="00CC65AE" w:rsidRPr="00750831" w:rsidRDefault="00750831" w:rsidP="00AC6F63">
            <w:r>
              <w:t xml:space="preserve">Both </w:t>
            </w:r>
            <w:r w:rsidRPr="00750831">
              <w:rPr>
                <w:i/>
                <w:iCs/>
              </w:rPr>
              <w:t>Appendix A</w:t>
            </w:r>
            <w:r>
              <w:rPr>
                <w:i/>
                <w:iCs/>
              </w:rPr>
              <w:t xml:space="preserve"> p</w:t>
            </w:r>
            <w:r>
              <w:t>rovide visual displays of Linking Steps and Key Terms</w:t>
            </w:r>
            <w:r w:rsidR="00EB5840">
              <w:t>.</w:t>
            </w:r>
          </w:p>
        </w:tc>
      </w:tr>
      <w:tr w:rsidR="00CC65AE" w14:paraId="440C2FE3" w14:textId="3ACE6768" w:rsidTr="00CC65AE">
        <w:tc>
          <w:tcPr>
            <w:tcW w:w="4630" w:type="dxa"/>
          </w:tcPr>
          <w:p w14:paraId="0B271734" w14:textId="368C282C" w:rsidR="00CC65AE" w:rsidRPr="00AF4FBA" w:rsidRDefault="00CC65AE" w:rsidP="00AC6F63">
            <w:pPr>
              <w:rPr>
                <w:b/>
                <w:bCs/>
              </w:rPr>
            </w:pPr>
            <w:r w:rsidRPr="00AF4FBA">
              <w:rPr>
                <w:b/>
                <w:bCs/>
              </w:rPr>
              <w:lastRenderedPageBreak/>
              <w:t>Appendix B: Examples</w:t>
            </w:r>
          </w:p>
        </w:tc>
        <w:tc>
          <w:tcPr>
            <w:tcW w:w="4193" w:type="dxa"/>
          </w:tcPr>
          <w:p w14:paraId="75B1E0DB" w14:textId="3849825B" w:rsidR="00CC65AE" w:rsidRPr="00750831" w:rsidRDefault="00CC65AE" w:rsidP="00AC6F63">
            <w:pPr>
              <w:rPr>
                <w:b/>
                <w:bCs/>
              </w:rPr>
            </w:pPr>
            <w:r w:rsidRPr="00750831">
              <w:rPr>
                <w:b/>
                <w:bCs/>
              </w:rPr>
              <w:t>Appendix B: Examples</w:t>
            </w:r>
          </w:p>
        </w:tc>
        <w:tc>
          <w:tcPr>
            <w:tcW w:w="4127" w:type="dxa"/>
          </w:tcPr>
          <w:p w14:paraId="1B61DAD9" w14:textId="7B50E55C" w:rsidR="00CC65AE" w:rsidRDefault="00750831" w:rsidP="00AC6F63">
            <w:r>
              <w:t xml:space="preserve">Both </w:t>
            </w:r>
            <w:r w:rsidRPr="00EB5840">
              <w:rPr>
                <w:i/>
                <w:iCs/>
              </w:rPr>
              <w:t>Appendix B</w:t>
            </w:r>
            <w:r>
              <w:t xml:space="preserve"> provide</w:t>
            </w:r>
            <w:r w:rsidR="00EB5840">
              <w:t xml:space="preserve"> examples in varied content areas.</w:t>
            </w:r>
          </w:p>
        </w:tc>
      </w:tr>
      <w:tr w:rsidR="00CC65AE" w14:paraId="1A3BF920" w14:textId="1415770C" w:rsidTr="00CC65AE">
        <w:tc>
          <w:tcPr>
            <w:tcW w:w="4630" w:type="dxa"/>
          </w:tcPr>
          <w:p w14:paraId="692DE9DC" w14:textId="77777777" w:rsidR="00CC65AE" w:rsidRPr="00AF4FBA" w:rsidRDefault="00CC65AE" w:rsidP="00AC6F63">
            <w:pPr>
              <w:rPr>
                <w:b/>
                <w:bCs/>
              </w:rPr>
            </w:pPr>
          </w:p>
        </w:tc>
        <w:tc>
          <w:tcPr>
            <w:tcW w:w="4193" w:type="dxa"/>
          </w:tcPr>
          <w:p w14:paraId="6361AB2A" w14:textId="77777777" w:rsidR="00CC65AE" w:rsidRPr="00EB5840" w:rsidRDefault="00CC65AE" w:rsidP="00AC6F63">
            <w:pPr>
              <w:rPr>
                <w:b/>
                <w:bCs/>
              </w:rPr>
            </w:pPr>
            <w:r w:rsidRPr="00EB5840">
              <w:rPr>
                <w:b/>
                <w:bCs/>
              </w:rPr>
              <w:t>Appendix C: An Example of the Routine</w:t>
            </w:r>
          </w:p>
          <w:p w14:paraId="21717FAE" w14:textId="51824BD0" w:rsidR="00CC65AE" w:rsidRDefault="00CC65AE" w:rsidP="00AC6F63">
            <w:r w:rsidRPr="00EB5840">
              <w:rPr>
                <w:color w:val="538135" w:themeColor="accent6" w:themeShade="BF"/>
              </w:rPr>
              <w:t>Provides a sample script for how to co-construct the given CER</w:t>
            </w:r>
          </w:p>
        </w:tc>
        <w:tc>
          <w:tcPr>
            <w:tcW w:w="4127" w:type="dxa"/>
          </w:tcPr>
          <w:p w14:paraId="1684D463" w14:textId="77777777" w:rsidR="00CC65AE" w:rsidRDefault="00CC65AE" w:rsidP="00AC6F63"/>
        </w:tc>
      </w:tr>
    </w:tbl>
    <w:p w14:paraId="61F0F546" w14:textId="389E0035" w:rsidR="00897477" w:rsidRDefault="00897477" w:rsidP="00227469"/>
    <w:p w14:paraId="207ABDFC" w14:textId="1EB1C2D5" w:rsidR="00AC6F63" w:rsidRDefault="00AC1595" w:rsidP="00227469">
      <w:r>
        <w:t>Note from Jocelyn Washburn</w:t>
      </w:r>
      <w:r w:rsidR="00AC6F63">
        <w:t xml:space="preserve"> on use of the terms </w:t>
      </w:r>
      <w:r w:rsidR="00AC6F63" w:rsidRPr="00EB5840">
        <w:rPr>
          <w:i/>
          <w:iCs/>
        </w:rPr>
        <w:t>guidebook</w:t>
      </w:r>
      <w:r w:rsidR="00AC6F63">
        <w:t xml:space="preserve"> and </w:t>
      </w:r>
      <w:r w:rsidR="00AC6F63" w:rsidRPr="00EB5840">
        <w:rPr>
          <w:i/>
          <w:iCs/>
        </w:rPr>
        <w:t>manual</w:t>
      </w:r>
      <w:r w:rsidR="00AC6F63">
        <w:t xml:space="preserve">: The new format uses “manual” in the introduction, but the original format calls the book a “guidebook.” As a SIM Professional Developer, I have learned that CERs use guidebooks and LS use manuals. I would like to maintain this consistency in terms; however, I have learned that this distinction is not common to SIM authors and other </w:t>
      </w:r>
      <w:r w:rsidR="00EB5840">
        <w:t xml:space="preserve">SIM </w:t>
      </w:r>
      <w:r w:rsidR="00AC6F63">
        <w:t>professional developers.</w:t>
      </w:r>
    </w:p>
    <w:sectPr w:rsidR="00AC6F63" w:rsidSect="00CC65A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B3BD" w14:textId="77777777" w:rsidR="00487295" w:rsidRDefault="00487295" w:rsidP="0009357D">
      <w:r>
        <w:separator/>
      </w:r>
    </w:p>
  </w:endnote>
  <w:endnote w:type="continuationSeparator" w:id="0">
    <w:p w14:paraId="77F0A872" w14:textId="77777777" w:rsidR="00487295" w:rsidRDefault="00487295" w:rsidP="0009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3A20" w14:textId="77777777" w:rsidR="00AC1595" w:rsidRDefault="00AC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4C8" w14:textId="00FE907A" w:rsidR="0009357D" w:rsidRDefault="0009357D">
    <w:pPr>
      <w:pStyle w:val="Footer"/>
    </w:pPr>
    <w:r>
      <w:t xml:space="preserve">J. Washburn, </w:t>
    </w:r>
    <w:r w:rsidR="00AC1595">
      <w:t xml:space="preserve">May </w:t>
    </w:r>
    <w:r>
      <w:t>202</w:t>
    </w:r>
    <w:r w:rsidR="00646974">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3CA" w14:textId="77777777" w:rsidR="00AC1595" w:rsidRDefault="00AC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DF2E" w14:textId="77777777" w:rsidR="00487295" w:rsidRDefault="00487295" w:rsidP="0009357D">
      <w:r>
        <w:separator/>
      </w:r>
    </w:p>
  </w:footnote>
  <w:footnote w:type="continuationSeparator" w:id="0">
    <w:p w14:paraId="4AD3C20C" w14:textId="77777777" w:rsidR="00487295" w:rsidRDefault="00487295" w:rsidP="0009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AD3D" w14:textId="00A8E864" w:rsidR="00CC65AE" w:rsidRDefault="00487295">
    <w:pPr>
      <w:pStyle w:val="Header"/>
    </w:pPr>
    <w:r>
      <w:rPr>
        <w:noProof/>
      </w:rPr>
      <w:pict w14:anchorId="6AE7E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173445"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C452" w14:textId="67B6C340" w:rsidR="00CC65AE" w:rsidRDefault="00487295">
    <w:pPr>
      <w:pStyle w:val="Header"/>
    </w:pPr>
    <w:r>
      <w:rPr>
        <w:noProof/>
      </w:rPr>
      <w:pict w14:anchorId="696D6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173446"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8AD1" w14:textId="04AE377C" w:rsidR="00CC65AE" w:rsidRDefault="00487295">
    <w:pPr>
      <w:pStyle w:val="Header"/>
    </w:pPr>
    <w:r>
      <w:rPr>
        <w:noProof/>
      </w:rPr>
      <w:pict w14:anchorId="2A933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173444"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917"/>
    <w:multiLevelType w:val="hybridMultilevel"/>
    <w:tmpl w:val="70DE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1746A"/>
    <w:multiLevelType w:val="multilevel"/>
    <w:tmpl w:val="A0CC1926"/>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9505C4"/>
    <w:multiLevelType w:val="hybridMultilevel"/>
    <w:tmpl w:val="BFBA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031164">
    <w:abstractNumId w:val="1"/>
  </w:num>
  <w:num w:numId="2" w16cid:durableId="1078139692">
    <w:abstractNumId w:val="2"/>
  </w:num>
  <w:num w:numId="3" w16cid:durableId="46389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69"/>
    <w:rsid w:val="0009357D"/>
    <w:rsid w:val="00227469"/>
    <w:rsid w:val="00247B1E"/>
    <w:rsid w:val="002A31A5"/>
    <w:rsid w:val="00313082"/>
    <w:rsid w:val="00487295"/>
    <w:rsid w:val="004E0308"/>
    <w:rsid w:val="0051458E"/>
    <w:rsid w:val="00610EDC"/>
    <w:rsid w:val="00646974"/>
    <w:rsid w:val="00676AB5"/>
    <w:rsid w:val="00750831"/>
    <w:rsid w:val="00880D6A"/>
    <w:rsid w:val="00897477"/>
    <w:rsid w:val="008A7F14"/>
    <w:rsid w:val="00982813"/>
    <w:rsid w:val="00984B6A"/>
    <w:rsid w:val="00993637"/>
    <w:rsid w:val="009E3CB4"/>
    <w:rsid w:val="009F146F"/>
    <w:rsid w:val="00A83D48"/>
    <w:rsid w:val="00AC1595"/>
    <w:rsid w:val="00AC6F63"/>
    <w:rsid w:val="00AF4FBA"/>
    <w:rsid w:val="00B27DAC"/>
    <w:rsid w:val="00B66FBD"/>
    <w:rsid w:val="00C1102C"/>
    <w:rsid w:val="00CA2DAD"/>
    <w:rsid w:val="00CC65AE"/>
    <w:rsid w:val="00CF6238"/>
    <w:rsid w:val="00D07188"/>
    <w:rsid w:val="00D24360"/>
    <w:rsid w:val="00D87775"/>
    <w:rsid w:val="00DB4970"/>
    <w:rsid w:val="00DD7037"/>
    <w:rsid w:val="00E044AE"/>
    <w:rsid w:val="00E34168"/>
    <w:rsid w:val="00E53311"/>
    <w:rsid w:val="00EA3529"/>
    <w:rsid w:val="00EB5840"/>
    <w:rsid w:val="00EF12C7"/>
    <w:rsid w:val="00F0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AAD4"/>
  <w15:chartTrackingRefBased/>
  <w15:docId w15:val="{650C2A82-BC64-7E44-B761-6A9E7E7C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E3CB4"/>
    <w:pPr>
      <w:numPr>
        <w:numId w:val="1"/>
      </w:numPr>
    </w:pPr>
  </w:style>
  <w:style w:type="paragraph" w:customStyle="1" w:styleId="Style2">
    <w:name w:val="Style2"/>
    <w:basedOn w:val="ListParagraph"/>
    <w:qFormat/>
    <w:rsid w:val="00247B1E"/>
    <w:rPr>
      <w:rFonts w:ascii="Avenir Book" w:hAnsi="Avenir Book"/>
    </w:rPr>
  </w:style>
  <w:style w:type="paragraph" w:styleId="ListParagraph">
    <w:name w:val="List Paragraph"/>
    <w:basedOn w:val="Normal"/>
    <w:uiPriority w:val="34"/>
    <w:qFormat/>
    <w:rsid w:val="00247B1E"/>
    <w:pPr>
      <w:ind w:left="720"/>
      <w:contextualSpacing/>
    </w:pPr>
  </w:style>
  <w:style w:type="table" w:styleId="TableGrid">
    <w:name w:val="Table Grid"/>
    <w:basedOn w:val="TableNormal"/>
    <w:uiPriority w:val="39"/>
    <w:rsid w:val="0089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57D"/>
    <w:pPr>
      <w:tabs>
        <w:tab w:val="center" w:pos="4680"/>
        <w:tab w:val="right" w:pos="9360"/>
      </w:tabs>
    </w:pPr>
  </w:style>
  <w:style w:type="character" w:customStyle="1" w:styleId="HeaderChar">
    <w:name w:val="Header Char"/>
    <w:basedOn w:val="DefaultParagraphFont"/>
    <w:link w:val="Header"/>
    <w:uiPriority w:val="99"/>
    <w:rsid w:val="0009357D"/>
  </w:style>
  <w:style w:type="paragraph" w:styleId="Footer">
    <w:name w:val="footer"/>
    <w:basedOn w:val="Normal"/>
    <w:link w:val="FooterChar"/>
    <w:uiPriority w:val="99"/>
    <w:unhideWhenUsed/>
    <w:rsid w:val="0009357D"/>
    <w:pPr>
      <w:tabs>
        <w:tab w:val="center" w:pos="4680"/>
        <w:tab w:val="right" w:pos="9360"/>
      </w:tabs>
    </w:pPr>
  </w:style>
  <w:style w:type="character" w:customStyle="1" w:styleId="FooterChar">
    <w:name w:val="Footer Char"/>
    <w:basedOn w:val="DefaultParagraphFont"/>
    <w:link w:val="Footer"/>
    <w:uiPriority w:val="99"/>
    <w:rsid w:val="0009357D"/>
  </w:style>
  <w:style w:type="paragraph" w:styleId="NormalWeb">
    <w:name w:val="Normal (Web)"/>
    <w:basedOn w:val="Normal"/>
    <w:uiPriority w:val="99"/>
    <w:semiHidden/>
    <w:unhideWhenUsed/>
    <w:rsid w:val="005145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9373">
      <w:bodyDiv w:val="1"/>
      <w:marLeft w:val="0"/>
      <w:marRight w:val="0"/>
      <w:marTop w:val="0"/>
      <w:marBottom w:val="0"/>
      <w:divBdr>
        <w:top w:val="none" w:sz="0" w:space="0" w:color="auto"/>
        <w:left w:val="none" w:sz="0" w:space="0" w:color="auto"/>
        <w:bottom w:val="none" w:sz="0" w:space="0" w:color="auto"/>
        <w:right w:val="none" w:sz="0" w:space="0" w:color="auto"/>
      </w:divBdr>
      <w:divsChild>
        <w:div w:id="1143935140">
          <w:marLeft w:val="0"/>
          <w:marRight w:val="0"/>
          <w:marTop w:val="0"/>
          <w:marBottom w:val="0"/>
          <w:divBdr>
            <w:top w:val="none" w:sz="0" w:space="0" w:color="auto"/>
            <w:left w:val="none" w:sz="0" w:space="0" w:color="auto"/>
            <w:bottom w:val="none" w:sz="0" w:space="0" w:color="auto"/>
            <w:right w:val="none" w:sz="0" w:space="0" w:color="auto"/>
          </w:divBdr>
          <w:divsChild>
            <w:div w:id="1903590450">
              <w:marLeft w:val="0"/>
              <w:marRight w:val="0"/>
              <w:marTop w:val="0"/>
              <w:marBottom w:val="0"/>
              <w:divBdr>
                <w:top w:val="none" w:sz="0" w:space="0" w:color="auto"/>
                <w:left w:val="none" w:sz="0" w:space="0" w:color="auto"/>
                <w:bottom w:val="none" w:sz="0" w:space="0" w:color="auto"/>
                <w:right w:val="none" w:sz="0" w:space="0" w:color="auto"/>
              </w:divBdr>
              <w:divsChild>
                <w:div w:id="806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Jocelyn Christine</dc:creator>
  <cp:keywords/>
  <dc:description/>
  <cp:lastModifiedBy>Allen, Peony L.</cp:lastModifiedBy>
  <cp:revision>2</cp:revision>
  <dcterms:created xsi:type="dcterms:W3CDTF">2022-05-17T15:19:00Z</dcterms:created>
  <dcterms:modified xsi:type="dcterms:W3CDTF">2022-05-17T15:19:00Z</dcterms:modified>
</cp:coreProperties>
</file>